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16" w:rsidRPr="00430F8A" w:rsidRDefault="000B5216" w:rsidP="000B5216">
      <w:pPr>
        <w:tabs>
          <w:tab w:val="center" w:pos="4536"/>
          <w:tab w:val="right" w:pos="9072"/>
        </w:tabs>
        <w:spacing w:after="0" w:line="240" w:lineRule="auto"/>
        <w:jc w:val="right"/>
        <w:rPr>
          <w:rFonts w:cs="Arial"/>
          <w:sz w:val="24"/>
          <w:szCs w:val="24"/>
          <w:lang w:eastAsia="de-DE"/>
        </w:rPr>
      </w:pPr>
      <w:bookmarkStart w:id="0" w:name="_GoBack"/>
      <w:bookmarkEnd w:id="0"/>
      <w:r w:rsidRPr="00430F8A">
        <w:rPr>
          <w:rFonts w:cs="Arial"/>
          <w:b/>
          <w:bCs/>
          <w:sz w:val="40"/>
          <w:szCs w:val="40"/>
          <w:lang w:eastAsia="de-DE"/>
        </w:rPr>
        <w:t>DASV</w:t>
      </w:r>
    </w:p>
    <w:p w:rsidR="000B5216" w:rsidRPr="00430F8A" w:rsidRDefault="000B5216" w:rsidP="000B5216">
      <w:pPr>
        <w:spacing w:after="0" w:line="240" w:lineRule="auto"/>
        <w:jc w:val="right"/>
        <w:rPr>
          <w:rFonts w:cs="Arial"/>
          <w:sz w:val="20"/>
          <w:szCs w:val="20"/>
          <w:lang w:eastAsia="de-DE"/>
        </w:rPr>
      </w:pPr>
      <w:bookmarkStart w:id="1" w:name="2"/>
      <w:bookmarkStart w:id="2" w:name="9"/>
      <w:bookmarkEnd w:id="1"/>
      <w:bookmarkEnd w:id="2"/>
      <w:r w:rsidRPr="00430F8A">
        <w:rPr>
          <w:rFonts w:cs="Arial"/>
          <w:sz w:val="20"/>
          <w:szCs w:val="20"/>
          <w:lang w:eastAsia="de-DE"/>
        </w:rPr>
        <w:t>Deutsche Anwalts- und</w:t>
      </w:r>
    </w:p>
    <w:p w:rsidR="000B5216" w:rsidRPr="00430F8A" w:rsidRDefault="000B5216" w:rsidP="000B5216">
      <w:pPr>
        <w:spacing w:after="0" w:line="240" w:lineRule="auto"/>
        <w:jc w:val="right"/>
        <w:rPr>
          <w:rFonts w:cs="Arial"/>
          <w:sz w:val="20"/>
          <w:szCs w:val="20"/>
          <w:lang w:eastAsia="de-DE"/>
        </w:rPr>
      </w:pPr>
      <w:r w:rsidRPr="00430F8A">
        <w:rPr>
          <w:rFonts w:cs="Arial"/>
          <w:sz w:val="20"/>
          <w:szCs w:val="20"/>
          <w:lang w:eastAsia="de-DE"/>
        </w:rPr>
        <w:t>Steuerberatervereinigung</w:t>
      </w:r>
    </w:p>
    <w:p w:rsidR="000B5216" w:rsidRPr="00430F8A" w:rsidRDefault="000B5216" w:rsidP="000B5216">
      <w:pPr>
        <w:spacing w:after="0" w:line="240" w:lineRule="auto"/>
        <w:jc w:val="right"/>
        <w:rPr>
          <w:rFonts w:cs="Arial"/>
          <w:sz w:val="20"/>
          <w:szCs w:val="20"/>
          <w:lang w:eastAsia="de-DE"/>
        </w:rPr>
      </w:pPr>
      <w:r w:rsidRPr="00430F8A">
        <w:rPr>
          <w:rFonts w:cs="Arial"/>
          <w:sz w:val="20"/>
          <w:szCs w:val="20"/>
          <w:lang w:eastAsia="de-DE"/>
        </w:rPr>
        <w:t>für die mittelständische</w:t>
      </w:r>
    </w:p>
    <w:p w:rsidR="000B5216" w:rsidRPr="00430F8A" w:rsidRDefault="000B5216" w:rsidP="000B5216">
      <w:pPr>
        <w:spacing w:after="0" w:line="240" w:lineRule="auto"/>
        <w:jc w:val="right"/>
        <w:rPr>
          <w:rFonts w:cs="Arial"/>
          <w:sz w:val="20"/>
          <w:szCs w:val="20"/>
          <w:lang w:eastAsia="de-DE"/>
        </w:rPr>
      </w:pPr>
      <w:r w:rsidRPr="00430F8A">
        <w:rPr>
          <w:rFonts w:cs="Arial"/>
          <w:sz w:val="20"/>
          <w:szCs w:val="20"/>
          <w:lang w:eastAsia="de-DE"/>
        </w:rPr>
        <w:t>Wirtschaft e. V.</w:t>
      </w:r>
    </w:p>
    <w:p w:rsidR="000B5216" w:rsidRPr="000B5216" w:rsidRDefault="000B5216" w:rsidP="000B5216">
      <w:pPr>
        <w:spacing w:after="0" w:line="240" w:lineRule="auto"/>
        <w:jc w:val="center"/>
        <w:rPr>
          <w:rFonts w:cs="Arial"/>
          <w:b/>
          <w:bCs/>
          <w:sz w:val="20"/>
          <w:szCs w:val="20"/>
        </w:rPr>
      </w:pPr>
      <w:r w:rsidRPr="000B5216">
        <w:rPr>
          <w:rFonts w:cs="Arial"/>
          <w:b/>
          <w:bCs/>
          <w:sz w:val="20"/>
          <w:szCs w:val="20"/>
        </w:rPr>
        <w:t>10 Urteile, die Ihre Leser interessieren könnten</w:t>
      </w:r>
    </w:p>
    <w:p w:rsidR="000B5216" w:rsidRPr="000B5216" w:rsidRDefault="000B5216" w:rsidP="000B5216">
      <w:pPr>
        <w:spacing w:after="0" w:line="240" w:lineRule="auto"/>
        <w:jc w:val="center"/>
        <w:rPr>
          <w:rFonts w:cs="Arial"/>
          <w:b/>
          <w:bCs/>
          <w:sz w:val="20"/>
          <w:szCs w:val="20"/>
        </w:rPr>
      </w:pPr>
    </w:p>
    <w:p w:rsidR="000B5216" w:rsidRPr="000B5216" w:rsidRDefault="000B5216" w:rsidP="000B5216">
      <w:pPr>
        <w:spacing w:after="0" w:line="240" w:lineRule="auto"/>
        <w:jc w:val="center"/>
        <w:rPr>
          <w:rFonts w:cs="Arial"/>
          <w:sz w:val="20"/>
          <w:szCs w:val="20"/>
        </w:rPr>
      </w:pPr>
      <w:r w:rsidRPr="000B5216">
        <w:rPr>
          <w:rFonts w:cs="Arial"/>
          <w:sz w:val="20"/>
          <w:szCs w:val="20"/>
        </w:rPr>
        <w:t>zusammengestellt von Rechtsanwalt/Fachanwalt für Arbeitsrecht u. Fachanwalt für Erbrecht</w:t>
      </w:r>
    </w:p>
    <w:p w:rsidR="000B5216" w:rsidRPr="000B5216" w:rsidRDefault="000B5216" w:rsidP="000B5216">
      <w:pPr>
        <w:spacing w:after="0" w:line="240" w:lineRule="auto"/>
        <w:ind w:right="540"/>
        <w:jc w:val="center"/>
        <w:rPr>
          <w:rFonts w:cs="Arial"/>
          <w:bCs/>
          <w:sz w:val="20"/>
          <w:szCs w:val="20"/>
        </w:rPr>
      </w:pPr>
      <w:r w:rsidRPr="000B5216">
        <w:rPr>
          <w:rFonts w:cs="Arial"/>
          <w:bCs/>
          <w:sz w:val="20"/>
          <w:szCs w:val="20"/>
        </w:rPr>
        <w:t>Michael Henn, Stuttgart</w:t>
      </w:r>
    </w:p>
    <w:p w:rsidR="000B5216" w:rsidRPr="000B5216" w:rsidRDefault="000B5216" w:rsidP="000B5216">
      <w:pPr>
        <w:tabs>
          <w:tab w:val="left" w:pos="2532"/>
        </w:tabs>
        <w:spacing w:after="0" w:line="240" w:lineRule="auto"/>
        <w:rPr>
          <w:rFonts w:cs="Arial"/>
          <w:sz w:val="20"/>
          <w:szCs w:val="20"/>
        </w:rPr>
      </w:pPr>
    </w:p>
    <w:p w:rsidR="000B5216" w:rsidRPr="000B5216" w:rsidRDefault="000B5216" w:rsidP="000B5216">
      <w:pPr>
        <w:spacing w:after="0" w:line="240" w:lineRule="auto"/>
        <w:rPr>
          <w:rFonts w:cs="Arial"/>
          <w:sz w:val="20"/>
          <w:szCs w:val="20"/>
        </w:rPr>
      </w:pPr>
    </w:p>
    <w:p w:rsidR="00D32887" w:rsidRPr="000B5216" w:rsidRDefault="000B5216" w:rsidP="000B5216">
      <w:pPr>
        <w:spacing w:after="0" w:line="240" w:lineRule="auto"/>
        <w:jc w:val="center"/>
        <w:rPr>
          <w:rFonts w:cs="Arial"/>
          <w:b/>
          <w:sz w:val="20"/>
          <w:szCs w:val="20"/>
        </w:rPr>
      </w:pPr>
      <w:r w:rsidRPr="000B5216">
        <w:rPr>
          <w:rFonts w:cs="Arial"/>
          <w:b/>
          <w:sz w:val="20"/>
          <w:szCs w:val="20"/>
        </w:rPr>
        <w:t>I.</w:t>
      </w:r>
    </w:p>
    <w:p w:rsidR="00240FF0" w:rsidRPr="000B5216" w:rsidRDefault="00240FF0" w:rsidP="000B5216">
      <w:pPr>
        <w:pStyle w:val="berschrift3"/>
        <w:spacing w:after="0" w:line="240" w:lineRule="auto"/>
        <w:jc w:val="center"/>
        <w:rPr>
          <w:rFonts w:ascii="Arial" w:hAnsi="Arial" w:cs="Arial"/>
          <w:sz w:val="20"/>
          <w:szCs w:val="20"/>
        </w:rPr>
      </w:pPr>
      <w:r w:rsidRPr="000B5216">
        <w:rPr>
          <w:rFonts w:ascii="Arial" w:hAnsi="Arial" w:cs="Arial"/>
          <w:sz w:val="20"/>
          <w:szCs w:val="20"/>
        </w:rPr>
        <w:t>Beweislast bei vorbehaltloser Unterzeichnung eines Lieferscheins</w:t>
      </w:r>
    </w:p>
    <w:p w:rsidR="00240FF0" w:rsidRPr="000B5216" w:rsidRDefault="000B5216" w:rsidP="000B5216">
      <w:pPr>
        <w:pStyle w:val="berschrift4"/>
        <w:spacing w:after="0"/>
        <w:jc w:val="center"/>
        <w:rPr>
          <w:rFonts w:ascii="Arial" w:hAnsi="Arial" w:cs="Arial"/>
          <w:color w:val="auto"/>
          <w:sz w:val="20"/>
          <w:szCs w:val="20"/>
        </w:rPr>
      </w:pPr>
      <w:r>
        <w:rPr>
          <w:rFonts w:ascii="Arial" w:hAnsi="Arial" w:cs="Arial"/>
          <w:color w:val="auto"/>
          <w:sz w:val="20"/>
          <w:szCs w:val="20"/>
        </w:rPr>
        <w:t>BGH, Urteil vom 23.11.2017, Az.</w:t>
      </w:r>
      <w:r w:rsidR="00240FF0" w:rsidRPr="000B5216">
        <w:rPr>
          <w:rFonts w:ascii="Arial" w:hAnsi="Arial" w:cs="Arial"/>
          <w:color w:val="auto"/>
          <w:sz w:val="20"/>
          <w:szCs w:val="20"/>
        </w:rPr>
        <w:t xml:space="preserve"> I ZR 51/16</w:t>
      </w:r>
    </w:p>
    <w:p w:rsidR="000B5216" w:rsidRDefault="000B5216" w:rsidP="000B5216">
      <w:pPr>
        <w:spacing w:after="0" w:line="240" w:lineRule="auto"/>
        <w:rPr>
          <w:rFonts w:cs="Arial"/>
          <w:sz w:val="20"/>
          <w:szCs w:val="20"/>
        </w:rPr>
      </w:pPr>
    </w:p>
    <w:p w:rsidR="000B5216" w:rsidRDefault="00240FF0" w:rsidP="000B5216">
      <w:pPr>
        <w:spacing w:after="0" w:line="240" w:lineRule="auto"/>
        <w:jc w:val="both"/>
        <w:rPr>
          <w:rFonts w:cs="Arial"/>
          <w:sz w:val="20"/>
          <w:szCs w:val="20"/>
        </w:rPr>
      </w:pPr>
      <w:r w:rsidRPr="000B5216">
        <w:rPr>
          <w:rFonts w:cs="Arial"/>
          <w:sz w:val="20"/>
          <w:szCs w:val="20"/>
        </w:rPr>
        <w:t>a) Der Anspruchsteller, der vom Frachtführer Schadensersatz mit der Begründung beansprucht, Tiefkühlware sei während des Transports nicht ausreichend gekühlt worden, muss darlegen und beweisen, dass er dem Frachtführer das Transportgut in ordnungsgemäß gekühltem Zustand übergeben hat.</w:t>
      </w:r>
    </w:p>
    <w:p w:rsidR="00240FF0" w:rsidRDefault="00240FF0" w:rsidP="000B5216">
      <w:pPr>
        <w:spacing w:after="0" w:line="240" w:lineRule="auto"/>
        <w:jc w:val="both"/>
        <w:rPr>
          <w:rFonts w:cs="Arial"/>
          <w:sz w:val="20"/>
          <w:szCs w:val="20"/>
        </w:rPr>
      </w:pPr>
      <w:r w:rsidRPr="000B5216">
        <w:rPr>
          <w:rFonts w:cs="Arial"/>
          <w:sz w:val="20"/>
          <w:szCs w:val="20"/>
        </w:rPr>
        <w:t>b) Unterzeichnet der Frachtführer vorbehaltlos einen Lieferschein, in dem eine ausreichende Vorkühlung der zu transportierenden Ware festgehalten ist, trägt er die Beweislast für seine Behauptung, er sei bei der Beladung an einer Kontrolle der Temperatur der übernommenen Ware gehindert worden.</w:t>
      </w:r>
    </w:p>
    <w:p w:rsidR="000B5216" w:rsidRDefault="000B5216" w:rsidP="000B5216">
      <w:pPr>
        <w:spacing w:after="0" w:line="240" w:lineRule="auto"/>
        <w:rPr>
          <w:rFonts w:cs="Arial"/>
          <w:sz w:val="20"/>
          <w:szCs w:val="20"/>
        </w:rPr>
      </w:pPr>
    </w:p>
    <w:p w:rsidR="000B5216" w:rsidRDefault="000B5216" w:rsidP="00F25A08">
      <w:pPr>
        <w:spacing w:after="0" w:line="240" w:lineRule="auto"/>
        <w:jc w:val="center"/>
        <w:rPr>
          <w:rFonts w:cs="Arial"/>
          <w:b/>
          <w:sz w:val="20"/>
          <w:szCs w:val="20"/>
        </w:rPr>
      </w:pPr>
      <w:r w:rsidRPr="000B5216">
        <w:rPr>
          <w:rFonts w:cs="Arial"/>
          <w:b/>
          <w:sz w:val="20"/>
          <w:szCs w:val="20"/>
        </w:rPr>
        <w:t>II.</w:t>
      </w:r>
    </w:p>
    <w:p w:rsidR="00C135D8" w:rsidRPr="0056060A" w:rsidRDefault="00C135D8" w:rsidP="00F25A08">
      <w:pPr>
        <w:pStyle w:val="berschrift3"/>
        <w:spacing w:after="0" w:line="240" w:lineRule="auto"/>
        <w:jc w:val="center"/>
        <w:rPr>
          <w:rFonts w:ascii="Arial" w:hAnsi="Arial" w:cs="Arial"/>
          <w:sz w:val="20"/>
          <w:szCs w:val="20"/>
        </w:rPr>
      </w:pPr>
      <w:r w:rsidRPr="0056060A">
        <w:rPr>
          <w:rFonts w:ascii="Arial" w:hAnsi="Arial" w:cs="Arial"/>
          <w:sz w:val="20"/>
          <w:szCs w:val="20"/>
        </w:rPr>
        <w:t>Haftung des Erwerbers für die Sonderumlage</w:t>
      </w:r>
    </w:p>
    <w:p w:rsidR="00C135D8" w:rsidRDefault="0056060A" w:rsidP="00F25A08">
      <w:pPr>
        <w:pStyle w:val="berschrift4"/>
        <w:spacing w:after="0"/>
        <w:jc w:val="center"/>
        <w:rPr>
          <w:rFonts w:ascii="Arial" w:hAnsi="Arial" w:cs="Arial"/>
          <w:color w:val="auto"/>
          <w:sz w:val="20"/>
          <w:szCs w:val="20"/>
        </w:rPr>
      </w:pPr>
      <w:r w:rsidRPr="00F25A08">
        <w:rPr>
          <w:rFonts w:ascii="Arial" w:hAnsi="Arial" w:cs="Arial"/>
          <w:color w:val="auto"/>
          <w:sz w:val="20"/>
          <w:szCs w:val="20"/>
        </w:rPr>
        <w:t xml:space="preserve">BGH, </w:t>
      </w:r>
      <w:r w:rsidR="00C135D8" w:rsidRPr="00F25A08">
        <w:rPr>
          <w:rFonts w:ascii="Arial" w:hAnsi="Arial" w:cs="Arial"/>
          <w:color w:val="auto"/>
          <w:sz w:val="20"/>
          <w:szCs w:val="20"/>
        </w:rPr>
        <w:t>Urteil vom 15.12.2017, Az</w:t>
      </w:r>
      <w:r w:rsidR="00F25A08">
        <w:rPr>
          <w:rFonts w:ascii="Arial" w:hAnsi="Arial" w:cs="Arial"/>
          <w:color w:val="auto"/>
          <w:sz w:val="20"/>
          <w:szCs w:val="20"/>
        </w:rPr>
        <w:t>.</w:t>
      </w:r>
      <w:r w:rsidR="00C135D8" w:rsidRPr="00F25A08">
        <w:rPr>
          <w:rFonts w:ascii="Arial" w:hAnsi="Arial" w:cs="Arial"/>
          <w:color w:val="auto"/>
          <w:sz w:val="20"/>
          <w:szCs w:val="20"/>
        </w:rPr>
        <w:t xml:space="preserve"> V ZR 257/16</w:t>
      </w:r>
    </w:p>
    <w:p w:rsidR="00F25A08" w:rsidRPr="00F25A08" w:rsidRDefault="00F25A08" w:rsidP="00F25A08">
      <w:pPr>
        <w:pStyle w:val="berschrift4"/>
        <w:spacing w:after="0"/>
        <w:jc w:val="center"/>
        <w:rPr>
          <w:rFonts w:ascii="Arial" w:hAnsi="Arial" w:cs="Arial"/>
          <w:color w:val="auto"/>
          <w:sz w:val="20"/>
          <w:szCs w:val="20"/>
        </w:rPr>
      </w:pPr>
    </w:p>
    <w:p w:rsidR="0056060A" w:rsidRDefault="00C135D8" w:rsidP="00F25A08">
      <w:pPr>
        <w:pStyle w:val="Listenabsatz"/>
        <w:spacing w:after="0" w:line="240" w:lineRule="auto"/>
        <w:ind w:left="0"/>
        <w:jc w:val="both"/>
        <w:rPr>
          <w:rFonts w:cs="Arial"/>
          <w:sz w:val="21"/>
          <w:szCs w:val="21"/>
        </w:rPr>
      </w:pPr>
      <w:r w:rsidRPr="00B25512">
        <w:rPr>
          <w:rFonts w:cs="Arial"/>
          <w:sz w:val="21"/>
          <w:szCs w:val="21"/>
        </w:rPr>
        <w:t xml:space="preserve">Der Erwerber von Wohnungs- oder Teileigentum haftet für eine nach dem Eigentumswechsel fällig werdende Sonderumlage, auch wenn deren Erhebung vor dem Eigentumswechsel beschlossen wurde (Fortführung von Senat, Beschluss </w:t>
      </w:r>
      <w:r w:rsidR="0056060A">
        <w:rPr>
          <w:rFonts w:cs="Arial"/>
          <w:sz w:val="21"/>
          <w:szCs w:val="21"/>
        </w:rPr>
        <w:t>vom 21. April 1988 - V ZB 10/87</w:t>
      </w:r>
      <w:r w:rsidRPr="00B25512">
        <w:rPr>
          <w:rFonts w:cs="Arial"/>
          <w:sz w:val="21"/>
          <w:szCs w:val="21"/>
        </w:rPr>
        <w:t>, BGHZ 104, 197 ).</w:t>
      </w:r>
    </w:p>
    <w:p w:rsidR="0056060A" w:rsidRDefault="0056060A" w:rsidP="00F25A08">
      <w:pPr>
        <w:pStyle w:val="Listenabsatz"/>
        <w:spacing w:after="0" w:line="240" w:lineRule="auto"/>
        <w:ind w:left="0"/>
        <w:jc w:val="both"/>
        <w:rPr>
          <w:rFonts w:cs="Arial"/>
          <w:sz w:val="21"/>
          <w:szCs w:val="21"/>
        </w:rPr>
      </w:pPr>
    </w:p>
    <w:p w:rsidR="00C135D8" w:rsidRDefault="00C135D8" w:rsidP="00F25A08">
      <w:pPr>
        <w:pStyle w:val="Listenabsatz"/>
        <w:spacing w:after="0" w:line="240" w:lineRule="auto"/>
        <w:ind w:left="0"/>
        <w:jc w:val="both"/>
        <w:rPr>
          <w:rFonts w:cs="Arial"/>
          <w:sz w:val="21"/>
          <w:szCs w:val="21"/>
        </w:rPr>
      </w:pPr>
      <w:r w:rsidRPr="00B25512">
        <w:rPr>
          <w:rFonts w:cs="Arial"/>
          <w:sz w:val="21"/>
          <w:szCs w:val="21"/>
        </w:rPr>
        <w:t>Die anteiligen Beiträge der Wohnungseigentümer zu einer Sonderumlage werden erst mit Abruf durch den Verwalter fällig. Sollen die Beiträge abweichend von § 28 Abs. 2 WEG sofort fällig werden, bedarf es einer ausdrücklichen Regelung in dem Beschluss über die Erhebung der Sonderumlage.</w:t>
      </w:r>
    </w:p>
    <w:p w:rsidR="0056060A" w:rsidRDefault="0056060A" w:rsidP="00F25A08">
      <w:pPr>
        <w:pStyle w:val="Listenabsatz"/>
        <w:spacing w:after="0" w:line="240" w:lineRule="auto"/>
        <w:ind w:left="0"/>
        <w:jc w:val="both"/>
        <w:rPr>
          <w:rFonts w:cs="Arial"/>
          <w:sz w:val="21"/>
          <w:szCs w:val="21"/>
        </w:rPr>
      </w:pPr>
    </w:p>
    <w:p w:rsidR="00B25512" w:rsidRDefault="0056060A" w:rsidP="00F25A08">
      <w:pPr>
        <w:spacing w:after="0" w:line="240" w:lineRule="auto"/>
        <w:jc w:val="center"/>
        <w:rPr>
          <w:rFonts w:cs="Arial"/>
          <w:b/>
          <w:sz w:val="20"/>
          <w:szCs w:val="20"/>
        </w:rPr>
      </w:pPr>
      <w:r>
        <w:rPr>
          <w:rFonts w:cs="Arial"/>
          <w:b/>
          <w:sz w:val="20"/>
          <w:szCs w:val="20"/>
        </w:rPr>
        <w:t>III.</w:t>
      </w:r>
    </w:p>
    <w:p w:rsidR="00EA284A" w:rsidRDefault="00EA284A" w:rsidP="00F25A08">
      <w:pPr>
        <w:spacing w:after="0" w:line="240" w:lineRule="auto"/>
        <w:jc w:val="center"/>
        <w:rPr>
          <w:rFonts w:cs="Arial"/>
          <w:b/>
          <w:sz w:val="20"/>
          <w:szCs w:val="20"/>
        </w:rPr>
      </w:pPr>
      <w:r>
        <w:rPr>
          <w:rFonts w:cs="Arial"/>
          <w:b/>
          <w:sz w:val="20"/>
          <w:szCs w:val="20"/>
        </w:rPr>
        <w:t>Mitbestimmung</w:t>
      </w:r>
    </w:p>
    <w:p w:rsidR="0056060A" w:rsidRDefault="0056060A" w:rsidP="00F25A08">
      <w:pPr>
        <w:pStyle w:val="StandardWeb"/>
        <w:spacing w:before="0" w:beforeAutospacing="0" w:after="0" w:afterAutospacing="0"/>
        <w:jc w:val="center"/>
        <w:rPr>
          <w:rFonts w:ascii="Arial" w:hAnsi="Arial" w:cs="Arial"/>
          <w:sz w:val="20"/>
          <w:szCs w:val="20"/>
        </w:rPr>
      </w:pPr>
      <w:bookmarkStart w:id="3" w:name="DocInhalt"/>
      <w:bookmarkEnd w:id="3"/>
      <w:r w:rsidRPr="00F25A08">
        <w:rPr>
          <w:rFonts w:ascii="Arial" w:hAnsi="Arial" w:cs="Arial"/>
          <w:sz w:val="20"/>
          <w:szCs w:val="20"/>
        </w:rPr>
        <w:t>OLG München, Beschluss vom 06. März 2018</w:t>
      </w:r>
      <w:r w:rsidR="00F25A08">
        <w:rPr>
          <w:rFonts w:ascii="Arial" w:hAnsi="Arial" w:cs="Arial"/>
          <w:sz w:val="20"/>
          <w:szCs w:val="20"/>
        </w:rPr>
        <w:t>, Az.</w:t>
      </w:r>
      <w:r w:rsidRPr="00F25A08">
        <w:rPr>
          <w:rFonts w:ascii="Arial" w:hAnsi="Arial" w:cs="Arial"/>
          <w:sz w:val="20"/>
          <w:szCs w:val="20"/>
        </w:rPr>
        <w:t xml:space="preserve"> 31 Wx 321/15</w:t>
      </w:r>
    </w:p>
    <w:p w:rsidR="00F25A08" w:rsidRPr="00F25A08" w:rsidRDefault="00F25A08" w:rsidP="00F25A08">
      <w:pPr>
        <w:pStyle w:val="StandardWeb"/>
        <w:spacing w:before="0" w:beforeAutospacing="0" w:after="0" w:afterAutospacing="0"/>
        <w:jc w:val="center"/>
        <w:rPr>
          <w:rFonts w:ascii="Arial" w:hAnsi="Arial" w:cs="Arial"/>
          <w:sz w:val="20"/>
          <w:szCs w:val="20"/>
        </w:rPr>
      </w:pPr>
    </w:p>
    <w:p w:rsidR="00B25512" w:rsidRPr="0056060A" w:rsidRDefault="00B25512" w:rsidP="00F25A08">
      <w:pPr>
        <w:pStyle w:val="StandardWeb"/>
        <w:spacing w:before="0" w:beforeAutospacing="0" w:after="0" w:afterAutospacing="0"/>
        <w:jc w:val="both"/>
        <w:rPr>
          <w:rFonts w:ascii="Arial" w:hAnsi="Arial" w:cs="Arial"/>
          <w:sz w:val="20"/>
          <w:szCs w:val="20"/>
        </w:rPr>
      </w:pPr>
      <w:r w:rsidRPr="0056060A">
        <w:rPr>
          <w:rFonts w:ascii="Arial" w:hAnsi="Arial" w:cs="Arial"/>
          <w:sz w:val="20"/>
          <w:szCs w:val="20"/>
        </w:rPr>
        <w:t>Die paritätische Besetzung des Aufsichtsrats einer deutschen Aktiengesellschaft durch Arbeitnehmervertreter nach den Bestimmungen des deutschen Mitbestimmungsr</w:t>
      </w:r>
      <w:r w:rsidR="0056060A">
        <w:rPr>
          <w:rFonts w:ascii="Arial" w:hAnsi="Arial" w:cs="Arial"/>
          <w:sz w:val="20"/>
          <w:szCs w:val="20"/>
        </w:rPr>
        <w:t>echts verstößt nicht gegen Art.</w:t>
      </w:r>
      <w:r w:rsidRPr="0056060A">
        <w:rPr>
          <w:rFonts w:ascii="Arial" w:hAnsi="Arial" w:cs="Arial"/>
          <w:sz w:val="20"/>
          <w:szCs w:val="20"/>
        </w:rPr>
        <w:t xml:space="preserve">45 AEUV. (Anschluss an </w:t>
      </w:r>
      <w:hyperlink r:id="rId7" w:history="1">
        <w:r w:rsidRPr="0056060A">
          <w:rPr>
            <w:rStyle w:val="Hyperlink"/>
            <w:rFonts w:ascii="Arial" w:hAnsi="Arial" w:cs="Arial"/>
            <w:color w:val="auto"/>
            <w:sz w:val="20"/>
            <w:szCs w:val="20"/>
            <w:u w:val="none"/>
          </w:rPr>
          <w:t>EuGH, Urteil vom 18.7.2017, C-566/15</w:t>
        </w:r>
      </w:hyperlink>
      <w:r w:rsidRPr="0056060A">
        <w:rPr>
          <w:rFonts w:ascii="Arial" w:hAnsi="Arial" w:cs="Arial"/>
          <w:sz w:val="20"/>
          <w:szCs w:val="20"/>
        </w:rPr>
        <w:t xml:space="preserve">, ABl EU 2017, Nr. C 300 = </w:t>
      </w:r>
      <w:hyperlink r:id="rId8" w:history="1">
        <w:r w:rsidRPr="0056060A">
          <w:rPr>
            <w:rStyle w:val="Hyperlink"/>
            <w:rFonts w:ascii="Arial" w:hAnsi="Arial" w:cs="Arial"/>
            <w:color w:val="auto"/>
            <w:sz w:val="20"/>
            <w:szCs w:val="20"/>
            <w:u w:val="none"/>
          </w:rPr>
          <w:t>ZIP 2017, 1413</w:t>
        </w:r>
      </w:hyperlink>
      <w:r w:rsidRPr="0056060A">
        <w:rPr>
          <w:rFonts w:ascii="Arial" w:hAnsi="Arial" w:cs="Arial"/>
          <w:sz w:val="20"/>
          <w:szCs w:val="20"/>
        </w:rPr>
        <w:t xml:space="preserve"> = </w:t>
      </w:r>
      <w:hyperlink r:id="rId9" w:history="1">
        <w:r w:rsidRPr="0056060A">
          <w:rPr>
            <w:rStyle w:val="Hyperlink"/>
            <w:rFonts w:ascii="Arial" w:hAnsi="Arial" w:cs="Arial"/>
            <w:color w:val="auto"/>
            <w:sz w:val="20"/>
            <w:szCs w:val="20"/>
            <w:u w:val="none"/>
          </w:rPr>
          <w:t>NJW 2017, 2603</w:t>
        </w:r>
      </w:hyperlink>
      <w:r w:rsidRPr="0056060A">
        <w:rPr>
          <w:rFonts w:ascii="Arial" w:hAnsi="Arial" w:cs="Arial"/>
          <w:sz w:val="20"/>
          <w:szCs w:val="20"/>
        </w:rPr>
        <w:t>)</w:t>
      </w:r>
    </w:p>
    <w:p w:rsidR="00B25512" w:rsidRDefault="00B25512" w:rsidP="00F25A08">
      <w:pPr>
        <w:spacing w:after="0" w:line="240" w:lineRule="auto"/>
        <w:jc w:val="both"/>
        <w:rPr>
          <w:rFonts w:cs="Arial"/>
          <w:b/>
          <w:sz w:val="20"/>
          <w:szCs w:val="20"/>
        </w:rPr>
      </w:pPr>
    </w:p>
    <w:p w:rsidR="0056060A" w:rsidRDefault="0056060A" w:rsidP="00F25A08">
      <w:pPr>
        <w:pStyle w:val="StandardWeb"/>
        <w:spacing w:before="0" w:beforeAutospacing="0" w:after="0" w:afterAutospacing="0"/>
        <w:ind w:left="720"/>
      </w:pPr>
    </w:p>
    <w:p w:rsidR="0056060A" w:rsidRPr="0056060A" w:rsidRDefault="0056060A" w:rsidP="00F25A08">
      <w:pPr>
        <w:pStyle w:val="StandardWeb"/>
        <w:spacing w:before="0" w:beforeAutospacing="0" w:after="0" w:afterAutospacing="0"/>
        <w:ind w:left="720"/>
        <w:jc w:val="center"/>
        <w:rPr>
          <w:rFonts w:ascii="Arial" w:hAnsi="Arial" w:cs="Arial"/>
          <w:b/>
          <w:sz w:val="20"/>
          <w:szCs w:val="20"/>
        </w:rPr>
      </w:pPr>
      <w:r w:rsidRPr="0056060A">
        <w:rPr>
          <w:rFonts w:ascii="Arial" w:hAnsi="Arial" w:cs="Arial"/>
          <w:b/>
          <w:sz w:val="20"/>
          <w:szCs w:val="20"/>
        </w:rPr>
        <w:t>IV.</w:t>
      </w:r>
    </w:p>
    <w:p w:rsidR="00B25512" w:rsidRPr="0056060A" w:rsidRDefault="00B25512" w:rsidP="00F25A08">
      <w:pPr>
        <w:pStyle w:val="StandardWeb"/>
        <w:spacing w:before="0" w:beforeAutospacing="0" w:after="0" w:afterAutospacing="0"/>
        <w:jc w:val="center"/>
        <w:rPr>
          <w:rFonts w:ascii="Arial" w:hAnsi="Arial" w:cs="Arial"/>
          <w:b/>
          <w:sz w:val="20"/>
          <w:szCs w:val="20"/>
        </w:rPr>
      </w:pPr>
      <w:r w:rsidRPr="0056060A">
        <w:rPr>
          <w:rFonts w:ascii="Arial" w:hAnsi="Arial" w:cs="Arial"/>
          <w:b/>
          <w:sz w:val="20"/>
          <w:szCs w:val="20"/>
        </w:rPr>
        <w:t>Arbeitsschutzrechtlichen Aufklärungsbefugnis der zuständigen Behörde bei Zielvereinbarungen</w:t>
      </w:r>
    </w:p>
    <w:p w:rsidR="0056060A" w:rsidRDefault="0056060A" w:rsidP="00F25A08">
      <w:pPr>
        <w:pStyle w:val="StandardWeb"/>
        <w:spacing w:before="0" w:beforeAutospacing="0" w:after="0" w:afterAutospacing="0"/>
        <w:jc w:val="center"/>
        <w:rPr>
          <w:rFonts w:ascii="Arial" w:hAnsi="Arial" w:cs="Arial"/>
          <w:sz w:val="20"/>
          <w:szCs w:val="20"/>
        </w:rPr>
      </w:pPr>
      <w:r w:rsidRPr="0056060A">
        <w:rPr>
          <w:rFonts w:ascii="Arial" w:hAnsi="Arial" w:cs="Arial"/>
          <w:sz w:val="20"/>
          <w:szCs w:val="20"/>
        </w:rPr>
        <w:t>VG Düsseldorf, Urteil vom 28</w:t>
      </w:r>
      <w:r w:rsidR="00F25A08">
        <w:rPr>
          <w:rFonts w:ascii="Arial" w:hAnsi="Arial" w:cs="Arial"/>
          <w:sz w:val="20"/>
          <w:szCs w:val="20"/>
        </w:rPr>
        <w:t>. Februar 2018, Az. 29 K 4191/16</w:t>
      </w:r>
    </w:p>
    <w:p w:rsidR="00F25A08" w:rsidRPr="0056060A" w:rsidRDefault="00F25A08" w:rsidP="00F25A08">
      <w:pPr>
        <w:pStyle w:val="StandardWeb"/>
        <w:spacing w:before="0" w:beforeAutospacing="0" w:after="0" w:afterAutospacing="0"/>
        <w:jc w:val="center"/>
        <w:rPr>
          <w:rFonts w:ascii="Arial" w:hAnsi="Arial" w:cs="Arial"/>
          <w:sz w:val="20"/>
          <w:szCs w:val="20"/>
        </w:rPr>
      </w:pPr>
    </w:p>
    <w:p w:rsidR="00B25512" w:rsidRPr="0056060A" w:rsidRDefault="00B25512" w:rsidP="00F25A08">
      <w:pPr>
        <w:pStyle w:val="StandardWeb"/>
        <w:spacing w:before="0" w:beforeAutospacing="0" w:after="0" w:afterAutospacing="0"/>
        <w:jc w:val="both"/>
        <w:rPr>
          <w:rFonts w:ascii="Arial" w:hAnsi="Arial" w:cs="Arial"/>
          <w:sz w:val="20"/>
          <w:szCs w:val="20"/>
        </w:rPr>
      </w:pPr>
      <w:r w:rsidRPr="0056060A">
        <w:rPr>
          <w:rFonts w:ascii="Arial" w:hAnsi="Arial" w:cs="Arial"/>
          <w:sz w:val="20"/>
          <w:szCs w:val="20"/>
        </w:rPr>
        <w:t xml:space="preserve">1. Die Einhaltung von Zielvereinbarungen, die zwar Einfluss auf die Arbeitszeitgestaltung haben können, bei denen es sich aber nicht um Regelungen der Arbeitszeit handelt, ist nicht nach ArbSchG, sondern nach der spezielleren Vorschrift des </w:t>
      </w:r>
      <w:hyperlink r:id="rId10" w:history="1">
        <w:r w:rsidRPr="0056060A">
          <w:rPr>
            <w:rStyle w:val="Hyperlink"/>
            <w:rFonts w:ascii="Arial" w:hAnsi="Arial" w:cs="Arial"/>
            <w:color w:val="auto"/>
            <w:sz w:val="20"/>
            <w:szCs w:val="20"/>
            <w:u w:val="none"/>
          </w:rPr>
          <w:t>§ 17 ArbZG</w:t>
        </w:r>
      </w:hyperlink>
      <w:r w:rsidRPr="0056060A">
        <w:rPr>
          <w:rFonts w:ascii="Arial" w:hAnsi="Arial" w:cs="Arial"/>
          <w:sz w:val="20"/>
          <w:szCs w:val="20"/>
        </w:rPr>
        <w:t xml:space="preserve"> zu überprüfen.</w:t>
      </w:r>
      <w:bookmarkStart w:id="4" w:name="_retrdlink_56"/>
      <w:r w:rsidRPr="0056060A">
        <w:rPr>
          <w:rFonts w:ascii="Arial" w:hAnsi="Arial" w:cs="Arial"/>
          <w:sz w:val="20"/>
          <w:szCs w:val="20"/>
        </w:rPr>
        <w:fldChar w:fldCharType="begin"/>
      </w:r>
      <w:r w:rsidRPr="0056060A">
        <w:rPr>
          <w:rFonts w:ascii="Arial" w:hAnsi="Arial" w:cs="Arial"/>
          <w:sz w:val="20"/>
          <w:szCs w:val="20"/>
        </w:rPr>
        <w:instrText xml:space="preserve"> HYPERLINK "https://www.juris.de/r3/?docId=MWRE180000928&amp;docFormat=xsl&amp;docPart=L" </w:instrText>
      </w:r>
      <w:r w:rsidR="0056060A" w:rsidRPr="0056060A">
        <w:rPr>
          <w:rFonts w:ascii="Arial" w:hAnsi="Arial" w:cs="Arial"/>
          <w:sz w:val="20"/>
          <w:szCs w:val="20"/>
        </w:rPr>
      </w:r>
      <w:r w:rsidRPr="0056060A">
        <w:rPr>
          <w:rFonts w:ascii="Arial" w:hAnsi="Arial" w:cs="Arial"/>
          <w:sz w:val="20"/>
          <w:szCs w:val="20"/>
        </w:rPr>
        <w:fldChar w:fldCharType="separate"/>
      </w:r>
      <w:r w:rsidRPr="0056060A">
        <w:rPr>
          <w:rStyle w:val="Hyperlink"/>
          <w:rFonts w:ascii="Arial" w:hAnsi="Arial" w:cs="Arial"/>
          <w:color w:val="auto"/>
          <w:sz w:val="20"/>
          <w:szCs w:val="20"/>
          <w:u w:val="none"/>
        </w:rPr>
        <w:t>(Rn.56)</w:t>
      </w:r>
      <w:r w:rsidRPr="0056060A">
        <w:rPr>
          <w:rFonts w:ascii="Arial" w:hAnsi="Arial" w:cs="Arial"/>
          <w:sz w:val="20"/>
          <w:szCs w:val="20"/>
        </w:rPr>
        <w:fldChar w:fldCharType="end"/>
      </w:r>
      <w:bookmarkEnd w:id="4"/>
    </w:p>
    <w:p w:rsidR="00B25512" w:rsidRPr="0056060A" w:rsidRDefault="00B25512" w:rsidP="00F25A08">
      <w:pPr>
        <w:pStyle w:val="StandardWeb"/>
        <w:spacing w:before="0" w:beforeAutospacing="0" w:after="0" w:afterAutospacing="0"/>
        <w:jc w:val="both"/>
        <w:rPr>
          <w:rFonts w:ascii="Arial" w:hAnsi="Arial" w:cs="Arial"/>
          <w:sz w:val="20"/>
          <w:szCs w:val="20"/>
        </w:rPr>
      </w:pPr>
      <w:r w:rsidRPr="0056060A">
        <w:rPr>
          <w:rFonts w:ascii="Arial" w:hAnsi="Arial" w:cs="Arial"/>
          <w:sz w:val="20"/>
          <w:szCs w:val="20"/>
        </w:rPr>
        <w:t xml:space="preserve">2. Die Bezirksregierung kommt ihrer Überwachungsaufgabe bezüglich der Arbeitsschutzverantwortung eines Unternehmens und des Vorsorgegebots gemäß </w:t>
      </w:r>
      <w:hyperlink r:id="rId11" w:history="1">
        <w:r w:rsidRPr="0056060A">
          <w:rPr>
            <w:rStyle w:val="Hyperlink"/>
            <w:rFonts w:ascii="Arial" w:hAnsi="Arial" w:cs="Arial"/>
            <w:color w:val="auto"/>
            <w:sz w:val="20"/>
            <w:szCs w:val="20"/>
            <w:u w:val="none"/>
          </w:rPr>
          <w:t>§ 4 Nr</w:t>
        </w:r>
        <w:r w:rsidR="0056060A">
          <w:rPr>
            <w:rStyle w:val="Hyperlink"/>
            <w:rFonts w:ascii="Arial" w:hAnsi="Arial" w:cs="Arial"/>
            <w:color w:val="auto"/>
            <w:sz w:val="20"/>
            <w:szCs w:val="20"/>
            <w:u w:val="none"/>
          </w:rPr>
          <w:t>.</w:t>
        </w:r>
        <w:r w:rsidRPr="0056060A">
          <w:rPr>
            <w:rStyle w:val="Hyperlink"/>
            <w:rFonts w:ascii="Arial" w:hAnsi="Arial" w:cs="Arial"/>
            <w:color w:val="auto"/>
            <w:sz w:val="20"/>
            <w:szCs w:val="20"/>
            <w:u w:val="none"/>
          </w:rPr>
          <w:t xml:space="preserve"> 1 ArbSchG</w:t>
        </w:r>
      </w:hyperlink>
      <w:r w:rsidRPr="0056060A">
        <w:rPr>
          <w:rFonts w:ascii="Arial" w:hAnsi="Arial" w:cs="Arial"/>
          <w:sz w:val="20"/>
          <w:szCs w:val="20"/>
        </w:rPr>
        <w:t xml:space="preserve"> nach, wenn sie zu diesem Zweck Informationen zu abgeschlossenen Zielvereinbarungen einholt.</w:t>
      </w:r>
      <w:bookmarkStart w:id="5" w:name="_retrdlink_78"/>
      <w:r w:rsidRPr="0056060A">
        <w:rPr>
          <w:rFonts w:ascii="Arial" w:hAnsi="Arial" w:cs="Arial"/>
          <w:sz w:val="20"/>
          <w:szCs w:val="20"/>
        </w:rPr>
        <w:fldChar w:fldCharType="begin"/>
      </w:r>
      <w:r w:rsidRPr="0056060A">
        <w:rPr>
          <w:rFonts w:ascii="Arial" w:hAnsi="Arial" w:cs="Arial"/>
          <w:sz w:val="20"/>
          <w:szCs w:val="20"/>
        </w:rPr>
        <w:instrText xml:space="preserve"> HYPERLINK "https://www.juris.de/r3/?docId=MWRE180000928&amp;docFormat=xsl&amp;docPart=L" </w:instrText>
      </w:r>
      <w:r w:rsidR="0056060A" w:rsidRPr="0056060A">
        <w:rPr>
          <w:rFonts w:ascii="Arial" w:hAnsi="Arial" w:cs="Arial"/>
          <w:sz w:val="20"/>
          <w:szCs w:val="20"/>
        </w:rPr>
      </w:r>
      <w:r w:rsidRPr="0056060A">
        <w:rPr>
          <w:rFonts w:ascii="Arial" w:hAnsi="Arial" w:cs="Arial"/>
          <w:sz w:val="20"/>
          <w:szCs w:val="20"/>
        </w:rPr>
        <w:fldChar w:fldCharType="separate"/>
      </w:r>
      <w:r w:rsidRPr="0056060A">
        <w:rPr>
          <w:rStyle w:val="Hyperlink"/>
          <w:rFonts w:ascii="Arial" w:hAnsi="Arial" w:cs="Arial"/>
          <w:color w:val="auto"/>
          <w:sz w:val="20"/>
          <w:szCs w:val="20"/>
          <w:u w:val="none"/>
        </w:rPr>
        <w:t>(Rn.78)</w:t>
      </w:r>
      <w:r w:rsidRPr="0056060A">
        <w:rPr>
          <w:rFonts w:ascii="Arial" w:hAnsi="Arial" w:cs="Arial"/>
          <w:sz w:val="20"/>
          <w:szCs w:val="20"/>
        </w:rPr>
        <w:fldChar w:fldCharType="end"/>
      </w:r>
      <w:bookmarkEnd w:id="5"/>
    </w:p>
    <w:p w:rsidR="0056060A" w:rsidRDefault="0056060A" w:rsidP="00F25A08">
      <w:pPr>
        <w:pStyle w:val="StandardWeb"/>
        <w:spacing w:before="0" w:beforeAutospacing="0" w:after="0" w:afterAutospacing="0"/>
        <w:rPr>
          <w:rFonts w:ascii="Arial" w:hAnsi="Arial" w:cs="Arial"/>
        </w:rPr>
      </w:pPr>
    </w:p>
    <w:p w:rsidR="00F25A08" w:rsidRPr="00F25A08" w:rsidRDefault="00F25A08" w:rsidP="00F25A08">
      <w:pPr>
        <w:pStyle w:val="StandardWeb"/>
        <w:spacing w:before="0" w:beforeAutospacing="0" w:after="0" w:afterAutospacing="0"/>
        <w:rPr>
          <w:rFonts w:ascii="Arial" w:hAnsi="Arial" w:cs="Arial"/>
        </w:rPr>
      </w:pPr>
    </w:p>
    <w:p w:rsidR="0056060A" w:rsidRPr="0056060A" w:rsidRDefault="0056060A" w:rsidP="00F25A08">
      <w:pPr>
        <w:pStyle w:val="StandardWeb"/>
        <w:spacing w:before="0" w:beforeAutospacing="0" w:after="0" w:afterAutospacing="0"/>
        <w:ind w:left="720"/>
        <w:jc w:val="center"/>
        <w:rPr>
          <w:rFonts w:ascii="Arial" w:hAnsi="Arial" w:cs="Arial"/>
          <w:b/>
          <w:sz w:val="20"/>
          <w:szCs w:val="20"/>
        </w:rPr>
      </w:pPr>
      <w:r w:rsidRPr="0056060A">
        <w:rPr>
          <w:rFonts w:ascii="Arial" w:hAnsi="Arial" w:cs="Arial"/>
          <w:b/>
          <w:sz w:val="20"/>
          <w:szCs w:val="20"/>
        </w:rPr>
        <w:lastRenderedPageBreak/>
        <w:t>V.</w:t>
      </w:r>
    </w:p>
    <w:p w:rsidR="00B25512" w:rsidRPr="0056060A" w:rsidRDefault="00B25512" w:rsidP="00F25A08">
      <w:pPr>
        <w:pStyle w:val="StandardWeb"/>
        <w:spacing w:before="0" w:beforeAutospacing="0" w:after="0" w:afterAutospacing="0"/>
        <w:ind w:left="720"/>
        <w:jc w:val="center"/>
        <w:rPr>
          <w:rFonts w:ascii="Arial" w:hAnsi="Arial" w:cs="Arial"/>
          <w:b/>
          <w:sz w:val="20"/>
          <w:szCs w:val="20"/>
        </w:rPr>
      </w:pPr>
      <w:r w:rsidRPr="0056060A">
        <w:rPr>
          <w:rFonts w:ascii="Arial" w:hAnsi="Arial" w:cs="Arial"/>
          <w:b/>
          <w:sz w:val="20"/>
          <w:szCs w:val="20"/>
        </w:rPr>
        <w:t>Passive Stellvertretung des Autohauses und Mitwirkungspflicht des Autokäufers vor Rücktritt vom Kaufvertrag mit dem Fahrzeughersteller im Zusammenhang mit dem sog. Abgasskandal</w:t>
      </w:r>
    </w:p>
    <w:p w:rsidR="0056060A" w:rsidRDefault="0056060A" w:rsidP="00F25A08">
      <w:pPr>
        <w:pStyle w:val="StandardWeb"/>
        <w:spacing w:before="0" w:beforeAutospacing="0" w:after="0" w:afterAutospacing="0"/>
        <w:ind w:left="720"/>
        <w:jc w:val="center"/>
        <w:rPr>
          <w:rFonts w:ascii="Arial" w:hAnsi="Arial" w:cs="Arial"/>
          <w:sz w:val="20"/>
          <w:szCs w:val="20"/>
        </w:rPr>
      </w:pPr>
      <w:r w:rsidRPr="0056060A">
        <w:rPr>
          <w:rFonts w:ascii="Arial" w:hAnsi="Arial" w:cs="Arial"/>
          <w:sz w:val="20"/>
          <w:szCs w:val="20"/>
        </w:rPr>
        <w:t>LG Braunschweig, Urteil v</w:t>
      </w:r>
      <w:r w:rsidR="00F25A08">
        <w:rPr>
          <w:rFonts w:ascii="Arial" w:hAnsi="Arial" w:cs="Arial"/>
          <w:sz w:val="20"/>
          <w:szCs w:val="20"/>
        </w:rPr>
        <w:t>om 07. März 2018, Az. 3 O 908/17</w:t>
      </w:r>
    </w:p>
    <w:p w:rsidR="00F25A08" w:rsidRPr="0056060A" w:rsidRDefault="00F25A08" w:rsidP="00F25A08">
      <w:pPr>
        <w:pStyle w:val="StandardWeb"/>
        <w:spacing w:before="0" w:beforeAutospacing="0" w:after="0" w:afterAutospacing="0"/>
        <w:ind w:left="720"/>
        <w:jc w:val="center"/>
        <w:rPr>
          <w:rFonts w:ascii="Arial" w:hAnsi="Arial" w:cs="Arial"/>
          <w:sz w:val="20"/>
          <w:szCs w:val="20"/>
        </w:rPr>
      </w:pPr>
    </w:p>
    <w:p w:rsidR="00B25512" w:rsidRPr="00F25A08" w:rsidRDefault="00B25512" w:rsidP="00F25A08">
      <w:pPr>
        <w:pStyle w:val="StandardWeb"/>
        <w:spacing w:before="0" w:beforeAutospacing="0" w:after="0" w:afterAutospacing="0"/>
        <w:jc w:val="both"/>
        <w:rPr>
          <w:rFonts w:ascii="Arial" w:hAnsi="Arial" w:cs="Arial"/>
          <w:sz w:val="20"/>
          <w:szCs w:val="20"/>
        </w:rPr>
      </w:pPr>
      <w:r w:rsidRPr="00F25A08">
        <w:rPr>
          <w:rFonts w:ascii="Arial" w:hAnsi="Arial" w:cs="Arial"/>
          <w:sz w:val="20"/>
          <w:szCs w:val="20"/>
        </w:rPr>
        <w:t xml:space="preserve">1. Ist der Autokaufvertrag mit dem Fahrzeughersteller über ein Autohaus im Rahmen eines sog. Agenturgeschäfts zustande gekommen, kann der Käufer Anfechtung und Rücktritt - bei Vorliegen der entsprechenden Voraussetzungen - nach </w:t>
      </w:r>
      <w:hyperlink r:id="rId12" w:history="1">
        <w:r w:rsidRPr="00F25A08">
          <w:rPr>
            <w:rStyle w:val="Hyperlink"/>
            <w:rFonts w:ascii="Arial" w:hAnsi="Arial" w:cs="Arial"/>
            <w:color w:val="auto"/>
            <w:sz w:val="20"/>
            <w:szCs w:val="20"/>
            <w:u w:val="none"/>
          </w:rPr>
          <w:t>§ 164 Abs. 3 BGB</w:t>
        </w:r>
      </w:hyperlink>
      <w:r w:rsidRPr="00F25A08">
        <w:rPr>
          <w:rFonts w:ascii="Arial" w:hAnsi="Arial" w:cs="Arial"/>
          <w:sz w:val="20"/>
          <w:szCs w:val="20"/>
        </w:rPr>
        <w:t xml:space="preserve"> (passive Stellvertretung) auch gegenüber dem Autohaus mit unmittelbarer Wirkung gegen den Fahrzeughersteller erklären.</w:t>
      </w:r>
    </w:p>
    <w:p w:rsidR="00B25512" w:rsidRPr="00F25A08" w:rsidRDefault="00B25512" w:rsidP="00F25A08">
      <w:pPr>
        <w:pStyle w:val="StandardWeb"/>
        <w:spacing w:before="0" w:beforeAutospacing="0" w:after="0" w:afterAutospacing="0"/>
        <w:jc w:val="both"/>
        <w:rPr>
          <w:rFonts w:ascii="Arial" w:hAnsi="Arial" w:cs="Arial"/>
          <w:sz w:val="20"/>
          <w:szCs w:val="20"/>
        </w:rPr>
      </w:pPr>
      <w:r w:rsidRPr="00F25A08">
        <w:rPr>
          <w:rFonts w:ascii="Arial" w:hAnsi="Arial" w:cs="Arial"/>
          <w:sz w:val="20"/>
          <w:szCs w:val="20"/>
        </w:rPr>
        <w:t>2. Setzt der Autokäufer dem Autohaus als Vertreter des verkaufenden Fahrzeugherstellers im Zusammenhang mit dem sog. Abgasskandal eine angemessene Frist zur Mangelbeseitigung und bittet der Fahrzeughersteller den Käufer rechtzeitig vor Ablauf der Frist, sich umgehend zwecks Terminvereinbarung für das zur Verfügung stehende Software-Update mit einer autorisierten Werkstatt zur Verbindung zu setzen, ist die Fristsetzung wegen Verstoßes gegen die dem Käufer obliegende Mitwirkungsplicht wirkungslos, wenn der Käufer die Vereinbarung eines Werkstatt-Termins innerhalb der gesetzten Frist durch die Wahl eines ungeeigneten Weges zur kurzfristigen Terminvereinbarung (hier: nur acht Werkstatt-Tage vor Ablauf der Frist verfasstes und anschließend per Post versandtes Anwaltsschreiben mit Terminvorschlägen an das Autohaus, dessen Mitarbeiter der Käufer ist) selbst vereitelt.</w:t>
      </w:r>
    </w:p>
    <w:p w:rsidR="00B25512" w:rsidRDefault="00B25512" w:rsidP="00F25A08">
      <w:pPr>
        <w:spacing w:after="0" w:line="240" w:lineRule="auto"/>
        <w:jc w:val="both"/>
        <w:rPr>
          <w:rFonts w:cs="Arial"/>
          <w:b/>
          <w:sz w:val="20"/>
          <w:szCs w:val="20"/>
        </w:rPr>
      </w:pPr>
    </w:p>
    <w:p w:rsidR="00F25A08" w:rsidRPr="00F25A08" w:rsidRDefault="00F25A08" w:rsidP="00F25A08">
      <w:pPr>
        <w:pStyle w:val="StandardWeb"/>
        <w:spacing w:before="0" w:beforeAutospacing="0" w:after="0" w:afterAutospacing="0"/>
        <w:ind w:left="720"/>
        <w:jc w:val="center"/>
        <w:rPr>
          <w:rFonts w:ascii="Arial" w:hAnsi="Arial" w:cs="Arial"/>
          <w:b/>
          <w:sz w:val="20"/>
          <w:szCs w:val="20"/>
        </w:rPr>
      </w:pPr>
      <w:r w:rsidRPr="00F25A08">
        <w:rPr>
          <w:rFonts w:ascii="Arial" w:hAnsi="Arial" w:cs="Arial"/>
          <w:b/>
          <w:sz w:val="20"/>
          <w:szCs w:val="20"/>
        </w:rPr>
        <w:t>VI.</w:t>
      </w:r>
    </w:p>
    <w:p w:rsidR="00B25512" w:rsidRPr="00F25A08" w:rsidRDefault="00B25512" w:rsidP="00F25A08">
      <w:pPr>
        <w:pStyle w:val="StandardWeb"/>
        <w:spacing w:before="0" w:beforeAutospacing="0" w:after="0" w:afterAutospacing="0"/>
        <w:ind w:left="720"/>
        <w:jc w:val="center"/>
        <w:rPr>
          <w:rFonts w:ascii="Arial" w:hAnsi="Arial" w:cs="Arial"/>
          <w:b/>
          <w:sz w:val="20"/>
          <w:szCs w:val="20"/>
        </w:rPr>
      </w:pPr>
      <w:r w:rsidRPr="00F25A08">
        <w:rPr>
          <w:rFonts w:ascii="Arial" w:hAnsi="Arial" w:cs="Arial"/>
          <w:b/>
          <w:sz w:val="20"/>
          <w:szCs w:val="20"/>
        </w:rPr>
        <w:t>Zur Wirksamkeit von Allgemeinen Geschäftsbedingungen einer Bank zur Einführung von Negativzinsen gegenüber Verbrauchern</w:t>
      </w:r>
    </w:p>
    <w:p w:rsidR="00F25A08" w:rsidRDefault="00F25A08" w:rsidP="00F25A08">
      <w:pPr>
        <w:pStyle w:val="StandardWeb"/>
        <w:spacing w:before="0" w:beforeAutospacing="0" w:after="0" w:afterAutospacing="0"/>
        <w:ind w:left="720"/>
        <w:jc w:val="center"/>
        <w:rPr>
          <w:rFonts w:ascii="Arial" w:hAnsi="Arial" w:cs="Arial"/>
          <w:sz w:val="20"/>
          <w:szCs w:val="20"/>
        </w:rPr>
      </w:pPr>
      <w:r w:rsidRPr="00F25A08">
        <w:rPr>
          <w:rFonts w:ascii="Arial" w:hAnsi="Arial" w:cs="Arial"/>
          <w:sz w:val="20"/>
          <w:szCs w:val="20"/>
        </w:rPr>
        <w:t>LG Tübingen, Urteil v</w:t>
      </w:r>
      <w:r>
        <w:rPr>
          <w:rFonts w:ascii="Arial" w:hAnsi="Arial" w:cs="Arial"/>
          <w:sz w:val="20"/>
          <w:szCs w:val="20"/>
        </w:rPr>
        <w:t>om 26. Januar 2018, Az. 4 O 187/17</w:t>
      </w:r>
    </w:p>
    <w:p w:rsidR="00F25A08" w:rsidRPr="00F25A08" w:rsidRDefault="00F25A08" w:rsidP="00F25A08">
      <w:pPr>
        <w:pStyle w:val="StandardWeb"/>
        <w:spacing w:before="0" w:beforeAutospacing="0" w:after="0" w:afterAutospacing="0"/>
        <w:ind w:left="720"/>
        <w:jc w:val="center"/>
        <w:rPr>
          <w:rFonts w:ascii="Arial" w:hAnsi="Arial" w:cs="Arial"/>
          <w:sz w:val="20"/>
          <w:szCs w:val="20"/>
        </w:rPr>
      </w:pPr>
    </w:p>
    <w:p w:rsidR="00B25512" w:rsidRPr="00F25A08" w:rsidRDefault="00B25512" w:rsidP="00F25A08">
      <w:pPr>
        <w:pStyle w:val="StandardWeb"/>
        <w:spacing w:before="0" w:beforeAutospacing="0" w:after="0" w:afterAutospacing="0"/>
        <w:jc w:val="both"/>
        <w:rPr>
          <w:rFonts w:ascii="Arial" w:hAnsi="Arial" w:cs="Arial"/>
          <w:sz w:val="20"/>
          <w:szCs w:val="20"/>
        </w:rPr>
      </w:pPr>
      <w:r w:rsidRPr="00F25A08">
        <w:rPr>
          <w:rFonts w:ascii="Arial" w:hAnsi="Arial" w:cs="Arial"/>
          <w:sz w:val="20"/>
          <w:szCs w:val="20"/>
        </w:rPr>
        <w:t xml:space="preserve">Allgemeine Geschäftsbedingungen einer Bank, mit denen bei Sicht-, Termin- und Festgeldeinlagen im Verhältnis zu Verbrauchern Negativzinsen eingeführt werden, sind dann nach </w:t>
      </w:r>
      <w:hyperlink r:id="rId13" w:history="1">
        <w:r w:rsidRPr="00F25A08">
          <w:rPr>
            <w:rStyle w:val="Hyperlink"/>
            <w:rFonts w:ascii="Arial" w:hAnsi="Arial" w:cs="Arial"/>
            <w:sz w:val="20"/>
            <w:szCs w:val="20"/>
          </w:rPr>
          <w:t>§ 307 BGB</w:t>
        </w:r>
      </w:hyperlink>
      <w:r w:rsidRPr="00F25A08">
        <w:rPr>
          <w:rFonts w:ascii="Arial" w:hAnsi="Arial" w:cs="Arial"/>
          <w:sz w:val="20"/>
          <w:szCs w:val="20"/>
        </w:rPr>
        <w:t xml:space="preserve"> unwirksam, wenn davon auch Altverträge erfasst werden, die ohne eine Entgeltpflicht des Kunden geschlossen wurden.</w:t>
      </w:r>
    </w:p>
    <w:p w:rsidR="00F25A08" w:rsidRDefault="00F25A08" w:rsidP="00F25A08">
      <w:pPr>
        <w:pStyle w:val="StandardWeb"/>
        <w:spacing w:before="0" w:beforeAutospacing="0" w:after="0" w:afterAutospacing="0"/>
        <w:ind w:left="720"/>
        <w:jc w:val="center"/>
        <w:rPr>
          <w:rFonts w:ascii="Arial" w:hAnsi="Arial" w:cs="Arial"/>
          <w:b/>
          <w:sz w:val="20"/>
          <w:szCs w:val="20"/>
        </w:rPr>
      </w:pPr>
    </w:p>
    <w:p w:rsidR="00F25A08" w:rsidRDefault="00F25A08" w:rsidP="00F25A08">
      <w:pPr>
        <w:pStyle w:val="StandardWeb"/>
        <w:spacing w:before="0" w:beforeAutospacing="0" w:after="0" w:afterAutospacing="0"/>
        <w:ind w:left="720"/>
        <w:jc w:val="center"/>
        <w:rPr>
          <w:rFonts w:ascii="Arial" w:hAnsi="Arial" w:cs="Arial"/>
          <w:b/>
          <w:sz w:val="20"/>
          <w:szCs w:val="20"/>
        </w:rPr>
      </w:pPr>
      <w:r w:rsidRPr="00F25A08">
        <w:rPr>
          <w:rFonts w:ascii="Arial" w:hAnsi="Arial" w:cs="Arial"/>
          <w:b/>
          <w:sz w:val="20"/>
          <w:szCs w:val="20"/>
        </w:rPr>
        <w:t>VII.</w:t>
      </w:r>
    </w:p>
    <w:p w:rsidR="00EA284A" w:rsidRPr="00F25A08" w:rsidRDefault="00EA284A" w:rsidP="00F25A08">
      <w:pPr>
        <w:pStyle w:val="StandardWeb"/>
        <w:spacing w:before="0" w:beforeAutospacing="0" w:after="0" w:afterAutospacing="0"/>
        <w:ind w:left="720"/>
        <w:jc w:val="center"/>
        <w:rPr>
          <w:rFonts w:ascii="Arial" w:hAnsi="Arial" w:cs="Arial"/>
          <w:b/>
          <w:sz w:val="20"/>
          <w:szCs w:val="20"/>
        </w:rPr>
      </w:pPr>
      <w:r>
        <w:rPr>
          <w:rFonts w:ascii="Arial" w:hAnsi="Arial" w:cs="Arial"/>
          <w:b/>
          <w:sz w:val="20"/>
          <w:szCs w:val="20"/>
        </w:rPr>
        <w:t>Verrechnung Mietkaution</w:t>
      </w:r>
    </w:p>
    <w:p w:rsidR="00F25A08" w:rsidRDefault="00F25A08" w:rsidP="00F25A08">
      <w:pPr>
        <w:pStyle w:val="StandardWeb"/>
        <w:spacing w:before="0" w:beforeAutospacing="0" w:after="0" w:afterAutospacing="0"/>
        <w:ind w:left="720"/>
        <w:jc w:val="center"/>
        <w:rPr>
          <w:rFonts w:ascii="Arial" w:hAnsi="Arial" w:cs="Arial"/>
          <w:sz w:val="20"/>
          <w:szCs w:val="20"/>
        </w:rPr>
      </w:pPr>
      <w:r w:rsidRPr="00F25A08">
        <w:rPr>
          <w:rFonts w:ascii="Arial" w:hAnsi="Arial" w:cs="Arial"/>
          <w:sz w:val="20"/>
          <w:szCs w:val="20"/>
        </w:rPr>
        <w:t>AG Dortmund, Urteil vom 13. März 2018</w:t>
      </w:r>
      <w:r>
        <w:rPr>
          <w:rFonts w:ascii="Arial" w:hAnsi="Arial" w:cs="Arial"/>
          <w:sz w:val="20"/>
          <w:szCs w:val="20"/>
        </w:rPr>
        <w:t>, Az.</w:t>
      </w:r>
      <w:r w:rsidRPr="00F25A08">
        <w:rPr>
          <w:rFonts w:ascii="Arial" w:hAnsi="Arial" w:cs="Arial"/>
          <w:sz w:val="20"/>
          <w:szCs w:val="20"/>
        </w:rPr>
        <w:t xml:space="preserve"> 425 C 5350/17</w:t>
      </w:r>
    </w:p>
    <w:p w:rsidR="00F25A08" w:rsidRPr="00F25A08" w:rsidRDefault="00F25A08" w:rsidP="00F25A08">
      <w:pPr>
        <w:pStyle w:val="StandardWeb"/>
        <w:spacing w:before="0" w:beforeAutospacing="0" w:after="0" w:afterAutospacing="0"/>
        <w:ind w:left="720"/>
        <w:jc w:val="center"/>
        <w:rPr>
          <w:rFonts w:ascii="Arial" w:hAnsi="Arial" w:cs="Arial"/>
          <w:sz w:val="20"/>
          <w:szCs w:val="20"/>
        </w:rPr>
      </w:pPr>
    </w:p>
    <w:p w:rsidR="00B25512" w:rsidRPr="00F25A08" w:rsidRDefault="00B25512" w:rsidP="00F25A08">
      <w:pPr>
        <w:pStyle w:val="StandardWeb"/>
        <w:spacing w:before="0" w:beforeAutospacing="0" w:after="0" w:afterAutospacing="0"/>
        <w:jc w:val="both"/>
        <w:rPr>
          <w:rFonts w:ascii="Arial" w:hAnsi="Arial" w:cs="Arial"/>
          <w:sz w:val="20"/>
          <w:szCs w:val="20"/>
        </w:rPr>
      </w:pPr>
      <w:r w:rsidRPr="00F25A08">
        <w:rPr>
          <w:rFonts w:ascii="Arial" w:hAnsi="Arial" w:cs="Arial"/>
          <w:sz w:val="20"/>
          <w:szCs w:val="20"/>
        </w:rPr>
        <w:t>1. In der Wohnraummiete ist ein Anspruch auf Rückzahlung einer Mietsicherheit erst fällig, wenn dem Vermieter keine Forderungen aus dem Mietverhältnis mehr zustehen.</w:t>
      </w:r>
    </w:p>
    <w:p w:rsidR="00B25512" w:rsidRPr="00F25A08" w:rsidRDefault="00B25512" w:rsidP="00F25A08">
      <w:pPr>
        <w:pStyle w:val="StandardWeb"/>
        <w:spacing w:before="0" w:beforeAutospacing="0" w:after="0" w:afterAutospacing="0"/>
        <w:jc w:val="both"/>
        <w:rPr>
          <w:rFonts w:ascii="Arial" w:hAnsi="Arial" w:cs="Arial"/>
          <w:sz w:val="20"/>
          <w:szCs w:val="20"/>
        </w:rPr>
      </w:pPr>
      <w:r w:rsidRPr="00F25A08">
        <w:rPr>
          <w:rFonts w:ascii="Arial" w:hAnsi="Arial" w:cs="Arial"/>
          <w:sz w:val="20"/>
          <w:szCs w:val="20"/>
        </w:rPr>
        <w:t>2. Der Vermieter darf auch nach Mietvertragsende nicht mit strittigen Forderungen gegenüber dem Rückzahlungsanspruch bezüglich der Kaution aufrechnen. Die Mietsicherheit ist nur ein Sicherungs- und kein Befriedigungsmittel.</w:t>
      </w:r>
    </w:p>
    <w:p w:rsidR="00B25512" w:rsidRPr="00F25A08" w:rsidRDefault="00B25512" w:rsidP="00F25A08">
      <w:pPr>
        <w:pStyle w:val="StandardWeb"/>
        <w:spacing w:before="0" w:beforeAutospacing="0" w:after="0" w:afterAutospacing="0"/>
        <w:jc w:val="both"/>
        <w:rPr>
          <w:rFonts w:ascii="Arial" w:hAnsi="Arial" w:cs="Arial"/>
          <w:sz w:val="20"/>
          <w:szCs w:val="20"/>
        </w:rPr>
      </w:pPr>
      <w:r w:rsidRPr="00F25A08">
        <w:rPr>
          <w:rFonts w:ascii="Arial" w:hAnsi="Arial" w:cs="Arial"/>
          <w:sz w:val="20"/>
          <w:szCs w:val="20"/>
        </w:rPr>
        <w:t>3. Der Vermieter muss wegen seiner strittigen Forderungen Widerklage erheben, die auch als Hilfswiderklage zulässig wäre.</w:t>
      </w:r>
    </w:p>
    <w:p w:rsidR="00B25512" w:rsidRDefault="00B25512" w:rsidP="00F25A08">
      <w:pPr>
        <w:spacing w:after="0" w:line="240" w:lineRule="auto"/>
        <w:jc w:val="both"/>
        <w:rPr>
          <w:rFonts w:cs="Arial"/>
          <w:b/>
          <w:sz w:val="20"/>
          <w:szCs w:val="20"/>
        </w:rPr>
      </w:pPr>
    </w:p>
    <w:p w:rsidR="00EA284A" w:rsidRDefault="00E72189" w:rsidP="00E72189">
      <w:pPr>
        <w:spacing w:after="0" w:line="240" w:lineRule="auto"/>
        <w:jc w:val="center"/>
        <w:rPr>
          <w:rFonts w:cs="Arial"/>
          <w:b/>
          <w:sz w:val="20"/>
          <w:szCs w:val="20"/>
        </w:rPr>
      </w:pPr>
      <w:r>
        <w:rPr>
          <w:rFonts w:cs="Arial"/>
          <w:b/>
          <w:sz w:val="20"/>
          <w:szCs w:val="20"/>
        </w:rPr>
        <w:t>VIII.</w:t>
      </w:r>
    </w:p>
    <w:p w:rsidR="00EA284A" w:rsidRPr="00E72189" w:rsidRDefault="00E72189" w:rsidP="00E72189">
      <w:pPr>
        <w:spacing w:after="0" w:line="240" w:lineRule="auto"/>
        <w:jc w:val="center"/>
        <w:rPr>
          <w:rFonts w:cs="Arial"/>
          <w:bCs/>
          <w:sz w:val="20"/>
          <w:szCs w:val="20"/>
        </w:rPr>
      </w:pPr>
      <w:r w:rsidRPr="00E72189">
        <w:rPr>
          <w:rFonts w:cs="Arial"/>
          <w:bCs/>
          <w:sz w:val="20"/>
          <w:szCs w:val="20"/>
        </w:rPr>
        <w:t xml:space="preserve">BGH, </w:t>
      </w:r>
      <w:r w:rsidR="00EA284A" w:rsidRPr="00E72189">
        <w:rPr>
          <w:rFonts w:cs="Arial"/>
          <w:bCs/>
          <w:sz w:val="20"/>
          <w:szCs w:val="20"/>
        </w:rPr>
        <w:t xml:space="preserve">Beschluss vom </w:t>
      </w:r>
      <w:r w:rsidRPr="00E72189">
        <w:rPr>
          <w:rFonts w:cs="Arial"/>
          <w:bCs/>
          <w:sz w:val="20"/>
          <w:szCs w:val="20"/>
        </w:rPr>
        <w:t>24. Januar 2018 - VII ZB 60/17</w:t>
      </w:r>
    </w:p>
    <w:p w:rsidR="00EA284A" w:rsidRPr="00E72189" w:rsidRDefault="00EA284A" w:rsidP="00E72189">
      <w:pPr>
        <w:spacing w:after="0" w:line="240" w:lineRule="auto"/>
        <w:jc w:val="both"/>
        <w:rPr>
          <w:rFonts w:cs="Arial"/>
          <w:bCs/>
          <w:sz w:val="20"/>
          <w:szCs w:val="20"/>
          <w:lang w:eastAsia="de-DE"/>
        </w:rPr>
      </w:pPr>
    </w:p>
    <w:p w:rsidR="00EA284A" w:rsidRPr="00E72189" w:rsidRDefault="00EA284A" w:rsidP="00E72189">
      <w:pPr>
        <w:pStyle w:val="Listenabsatz"/>
        <w:numPr>
          <w:ilvl w:val="0"/>
          <w:numId w:val="8"/>
        </w:numPr>
        <w:spacing w:after="0" w:line="240" w:lineRule="auto"/>
        <w:contextualSpacing w:val="0"/>
        <w:jc w:val="both"/>
        <w:rPr>
          <w:rFonts w:cs="Arial"/>
          <w:sz w:val="20"/>
          <w:szCs w:val="20"/>
          <w:lang w:eastAsia="de-DE"/>
        </w:rPr>
      </w:pPr>
      <w:r w:rsidRPr="00E72189">
        <w:rPr>
          <w:rFonts w:cs="Arial"/>
          <w:sz w:val="20"/>
          <w:szCs w:val="20"/>
          <w:lang w:eastAsia="de-DE"/>
        </w:rPr>
        <w:t>Die unterliegende Partei trifft keine prozessuale Kostenerstattungspflicht nach § 91 ZPO gegenüber der obsiegenden Partei bezüglich einer von dieser gemäß § 3a RVG vereinbarten Vergütung, soweit diese die gesetzliche Vergütung übersteigt.</w:t>
      </w:r>
    </w:p>
    <w:p w:rsidR="00EA284A" w:rsidRPr="00E72189" w:rsidRDefault="00EA284A" w:rsidP="00E72189">
      <w:pPr>
        <w:spacing w:after="0" w:line="240" w:lineRule="auto"/>
        <w:jc w:val="both"/>
        <w:rPr>
          <w:rFonts w:cs="Arial"/>
          <w:sz w:val="20"/>
          <w:szCs w:val="20"/>
          <w:lang w:eastAsia="de-DE"/>
        </w:rPr>
      </w:pPr>
    </w:p>
    <w:p w:rsidR="00EA284A" w:rsidRPr="00E72189" w:rsidRDefault="00EA284A" w:rsidP="00E72189">
      <w:pPr>
        <w:pStyle w:val="Listenabsatz"/>
        <w:numPr>
          <w:ilvl w:val="0"/>
          <w:numId w:val="8"/>
        </w:numPr>
        <w:spacing w:after="0" w:line="240" w:lineRule="auto"/>
        <w:contextualSpacing w:val="0"/>
        <w:jc w:val="both"/>
        <w:rPr>
          <w:rFonts w:cs="Arial"/>
          <w:sz w:val="20"/>
          <w:szCs w:val="20"/>
          <w:lang w:eastAsia="de-DE"/>
        </w:rPr>
      </w:pPr>
      <w:r w:rsidRPr="00E72189">
        <w:rPr>
          <w:rFonts w:cs="Arial"/>
          <w:sz w:val="20"/>
          <w:szCs w:val="20"/>
          <w:lang w:eastAsia="de-DE"/>
        </w:rPr>
        <w:t>Eine vom Rechtsanwalt im Einzelfall gezahlte Prämie für eine Anschlussdeckung zur Vermögensschadenshaftpflichtversicherung löst, soweit die Prämie auf Haftungsbeträge bis 30 Mio. € entfällt, keinen gesetzlichen Vergütungsanspruch aus.</w:t>
      </w:r>
    </w:p>
    <w:p w:rsidR="00EA284A" w:rsidRDefault="00EA284A" w:rsidP="00E72189">
      <w:pPr>
        <w:spacing w:after="0" w:line="240" w:lineRule="auto"/>
        <w:jc w:val="both"/>
        <w:rPr>
          <w:rFonts w:cs="Arial"/>
          <w:color w:val="002060"/>
          <w:sz w:val="20"/>
          <w:szCs w:val="20"/>
          <w:lang w:eastAsia="de-DE"/>
        </w:rPr>
      </w:pPr>
    </w:p>
    <w:p w:rsidR="00EA284A" w:rsidRPr="00E72189" w:rsidRDefault="00EA284A" w:rsidP="00E72189">
      <w:pPr>
        <w:spacing w:after="0" w:line="240" w:lineRule="auto"/>
        <w:jc w:val="both"/>
        <w:rPr>
          <w:rFonts w:cs="Arial"/>
          <w:b/>
          <w:bCs/>
          <w:color w:val="002060"/>
          <w:sz w:val="16"/>
          <w:szCs w:val="16"/>
          <w:u w:val="single"/>
          <w:lang w:eastAsia="de-DE"/>
        </w:rPr>
      </w:pPr>
      <w:r w:rsidRPr="00E72189">
        <w:rPr>
          <w:rFonts w:cs="Arial"/>
          <w:b/>
          <w:bCs/>
          <w:color w:val="002060"/>
          <w:sz w:val="16"/>
          <w:szCs w:val="16"/>
          <w:u w:val="single"/>
          <w:lang w:eastAsia="de-DE"/>
        </w:rPr>
        <w:t>Siehe:</w:t>
      </w:r>
    </w:p>
    <w:p w:rsidR="00EA284A" w:rsidRDefault="00EA284A" w:rsidP="00E72189">
      <w:pPr>
        <w:spacing w:after="0" w:line="240" w:lineRule="auto"/>
        <w:jc w:val="both"/>
        <w:rPr>
          <w:rFonts w:cs="Arial"/>
          <w:color w:val="002060"/>
          <w:sz w:val="20"/>
          <w:szCs w:val="20"/>
          <w:lang w:eastAsia="de-DE"/>
        </w:rPr>
      </w:pPr>
      <w:hyperlink r:id="rId14" w:history="1">
        <w:r w:rsidRPr="00E72189">
          <w:rPr>
            <w:rStyle w:val="Hyperlink"/>
            <w:rFonts w:eastAsiaTheme="majorEastAsia" w:cs="Arial"/>
            <w:sz w:val="16"/>
            <w:szCs w:val="16"/>
            <w:lang w:eastAsia="de-DE"/>
          </w:rPr>
          <w:t>http://juris.bundesgerichtshof.de/cgi-bin/rechtsprechung/document.py?Gericht=bgh&amp;Art=en&amp;Datum=Aktuell&amp;Sort=12288&amp;nr=81528&amp;pos=4&amp;anz=537</w:t>
        </w:r>
      </w:hyperlink>
    </w:p>
    <w:p w:rsidR="00E72189" w:rsidRDefault="00E72189">
      <w:pPr>
        <w:rPr>
          <w:rFonts w:cs="Arial"/>
          <w:b/>
          <w:sz w:val="20"/>
          <w:szCs w:val="20"/>
          <w:lang w:eastAsia="de-DE"/>
        </w:rPr>
      </w:pPr>
      <w:r>
        <w:rPr>
          <w:rFonts w:cs="Arial"/>
          <w:b/>
          <w:sz w:val="20"/>
          <w:szCs w:val="20"/>
          <w:lang w:eastAsia="de-DE"/>
        </w:rPr>
        <w:br w:type="page"/>
      </w:r>
    </w:p>
    <w:p w:rsidR="00EA284A" w:rsidRPr="00E72189" w:rsidRDefault="00EA284A" w:rsidP="00E72189">
      <w:pPr>
        <w:spacing w:after="0" w:line="240" w:lineRule="auto"/>
        <w:jc w:val="both"/>
        <w:rPr>
          <w:rFonts w:cs="Arial"/>
          <w:b/>
          <w:sz w:val="20"/>
          <w:szCs w:val="20"/>
          <w:lang w:eastAsia="de-DE"/>
        </w:rPr>
      </w:pPr>
    </w:p>
    <w:p w:rsidR="00EA284A" w:rsidRPr="00E72189" w:rsidRDefault="00E72189" w:rsidP="00E72189">
      <w:pPr>
        <w:spacing w:after="0" w:line="240" w:lineRule="auto"/>
        <w:jc w:val="center"/>
        <w:rPr>
          <w:rFonts w:cs="Arial"/>
          <w:b/>
          <w:sz w:val="20"/>
          <w:szCs w:val="20"/>
          <w:lang w:eastAsia="de-DE"/>
        </w:rPr>
      </w:pPr>
      <w:r w:rsidRPr="00E72189">
        <w:rPr>
          <w:rFonts w:cs="Arial"/>
          <w:b/>
          <w:sz w:val="20"/>
          <w:szCs w:val="20"/>
          <w:lang w:eastAsia="de-DE"/>
        </w:rPr>
        <w:t>IX.</w:t>
      </w:r>
    </w:p>
    <w:p w:rsidR="00EA284A" w:rsidRPr="00E72189" w:rsidRDefault="00EA284A" w:rsidP="00E72189">
      <w:pPr>
        <w:spacing w:after="0" w:line="240" w:lineRule="auto"/>
        <w:jc w:val="center"/>
        <w:rPr>
          <w:rFonts w:cs="Arial"/>
          <w:bCs/>
          <w:sz w:val="20"/>
          <w:szCs w:val="20"/>
        </w:rPr>
      </w:pPr>
      <w:r w:rsidRPr="00E72189">
        <w:rPr>
          <w:rFonts w:cs="Arial"/>
          <w:bCs/>
          <w:sz w:val="20"/>
          <w:szCs w:val="20"/>
        </w:rPr>
        <w:t>L</w:t>
      </w:r>
      <w:r w:rsidR="00E72189" w:rsidRPr="00E72189">
        <w:rPr>
          <w:rFonts w:cs="Arial"/>
          <w:bCs/>
          <w:sz w:val="20"/>
          <w:szCs w:val="20"/>
        </w:rPr>
        <w:t xml:space="preserve">AG </w:t>
      </w:r>
      <w:r w:rsidRPr="00E72189">
        <w:rPr>
          <w:rFonts w:cs="Arial"/>
          <w:bCs/>
          <w:sz w:val="20"/>
          <w:szCs w:val="20"/>
        </w:rPr>
        <w:t>Köln</w:t>
      </w:r>
      <w:r w:rsidR="00E72189" w:rsidRPr="00E72189">
        <w:rPr>
          <w:rFonts w:cs="Arial"/>
          <w:bCs/>
          <w:sz w:val="20"/>
          <w:szCs w:val="20"/>
        </w:rPr>
        <w:t xml:space="preserve">, </w:t>
      </w:r>
      <w:r w:rsidRPr="00E72189">
        <w:rPr>
          <w:rFonts w:cs="Arial"/>
          <w:bCs/>
          <w:sz w:val="20"/>
          <w:szCs w:val="20"/>
        </w:rPr>
        <w:t>Urteil vom 12.01.2018 - 4 Sa 290/17</w:t>
      </w:r>
    </w:p>
    <w:p w:rsidR="00EA284A" w:rsidRPr="00E72189" w:rsidRDefault="00EA284A" w:rsidP="00E72189">
      <w:pPr>
        <w:spacing w:after="0" w:line="240" w:lineRule="auto"/>
        <w:jc w:val="both"/>
        <w:rPr>
          <w:rFonts w:cs="Arial"/>
          <w:bCs/>
          <w:sz w:val="20"/>
          <w:szCs w:val="20"/>
          <w:lang w:eastAsia="de-DE"/>
        </w:rPr>
      </w:pPr>
    </w:p>
    <w:p w:rsidR="00EA284A" w:rsidRPr="00E72189" w:rsidRDefault="00EA284A" w:rsidP="00E72189">
      <w:pPr>
        <w:pStyle w:val="Listenabsatz"/>
        <w:numPr>
          <w:ilvl w:val="0"/>
          <w:numId w:val="9"/>
        </w:numPr>
        <w:spacing w:after="0" w:line="240" w:lineRule="auto"/>
        <w:contextualSpacing w:val="0"/>
        <w:jc w:val="both"/>
        <w:rPr>
          <w:rFonts w:cs="Arial"/>
          <w:sz w:val="20"/>
          <w:szCs w:val="20"/>
          <w:lang w:eastAsia="de-DE"/>
        </w:rPr>
      </w:pPr>
      <w:r w:rsidRPr="00E72189">
        <w:rPr>
          <w:rFonts w:cs="Arial"/>
          <w:sz w:val="20"/>
          <w:szCs w:val="20"/>
          <w:lang w:eastAsia="de-DE"/>
        </w:rPr>
        <w:t>Ein Arbeitnehmer, der während eines Arbeitstages erkrankt, erhält für den gesamten Arbeitstag die Vergütung gemäß § 611 BGB und keine Entgeltfortzahlung gemäß § 3 Abs. 1 EFZG (BAG, Urteil vom 26.02.2003 – 5 AZHR 112/02 –).</w:t>
      </w:r>
    </w:p>
    <w:p w:rsidR="00EA284A" w:rsidRPr="00E72189" w:rsidRDefault="00EA284A" w:rsidP="00E72189">
      <w:pPr>
        <w:pStyle w:val="Listenabsatz"/>
        <w:spacing w:after="0" w:line="240" w:lineRule="auto"/>
        <w:jc w:val="both"/>
        <w:rPr>
          <w:rFonts w:cs="Arial"/>
          <w:sz w:val="20"/>
          <w:szCs w:val="20"/>
          <w:lang w:eastAsia="de-DE"/>
        </w:rPr>
      </w:pPr>
    </w:p>
    <w:p w:rsidR="00EA284A" w:rsidRPr="00E72189" w:rsidRDefault="00EA284A" w:rsidP="00E72189">
      <w:pPr>
        <w:pStyle w:val="Listenabsatz"/>
        <w:numPr>
          <w:ilvl w:val="0"/>
          <w:numId w:val="9"/>
        </w:numPr>
        <w:spacing w:after="0" w:line="240" w:lineRule="auto"/>
        <w:contextualSpacing w:val="0"/>
        <w:jc w:val="both"/>
        <w:rPr>
          <w:rFonts w:cs="Arial"/>
          <w:sz w:val="20"/>
          <w:szCs w:val="20"/>
          <w:lang w:eastAsia="de-DE"/>
        </w:rPr>
      </w:pPr>
      <w:r w:rsidRPr="00E72189">
        <w:rPr>
          <w:rFonts w:cs="Arial"/>
          <w:sz w:val="20"/>
          <w:szCs w:val="20"/>
          <w:lang w:eastAsia="de-DE"/>
        </w:rPr>
        <w:t>Verlässt ein Arbeitnehmer nach einer Auseinandersetzung mit seinem Vorgesetzten unter Hinweis auf eine Erkrankung seinen Arbeitsplatz, so kann dies allein den hohen Beweiswert der anschließend ausgestellten Arbeitsunfähigkeitsbescheinigung nicht erschüttern.</w:t>
      </w:r>
    </w:p>
    <w:p w:rsidR="00EA284A" w:rsidRPr="00E72189" w:rsidRDefault="00EA284A" w:rsidP="00E72189">
      <w:pPr>
        <w:spacing w:after="0" w:line="240" w:lineRule="auto"/>
        <w:jc w:val="both"/>
        <w:rPr>
          <w:rFonts w:cs="Arial"/>
          <w:b/>
          <w:bCs/>
          <w:sz w:val="20"/>
          <w:szCs w:val="20"/>
          <w:u w:val="single"/>
          <w:lang w:eastAsia="de-DE"/>
        </w:rPr>
      </w:pPr>
    </w:p>
    <w:p w:rsidR="00EA284A" w:rsidRPr="00E72189" w:rsidRDefault="00EA284A" w:rsidP="00E72189">
      <w:pPr>
        <w:spacing w:after="0" w:line="240" w:lineRule="auto"/>
        <w:jc w:val="both"/>
        <w:rPr>
          <w:rFonts w:cs="Arial"/>
          <w:b/>
          <w:bCs/>
          <w:color w:val="002060"/>
          <w:sz w:val="16"/>
          <w:szCs w:val="16"/>
          <w:u w:val="single"/>
          <w:lang w:eastAsia="de-DE"/>
        </w:rPr>
      </w:pPr>
      <w:r w:rsidRPr="00E72189">
        <w:rPr>
          <w:rFonts w:cs="Arial"/>
          <w:b/>
          <w:bCs/>
          <w:color w:val="002060"/>
          <w:sz w:val="16"/>
          <w:szCs w:val="16"/>
          <w:u w:val="single"/>
          <w:lang w:eastAsia="de-DE"/>
        </w:rPr>
        <w:t>Siehe:</w:t>
      </w:r>
    </w:p>
    <w:p w:rsidR="00EA284A" w:rsidRPr="00E72189" w:rsidRDefault="00EA284A" w:rsidP="00E72189">
      <w:pPr>
        <w:spacing w:after="0" w:line="240" w:lineRule="auto"/>
        <w:rPr>
          <w:rFonts w:cs="Arial"/>
          <w:sz w:val="16"/>
          <w:szCs w:val="16"/>
          <w:lang w:eastAsia="de-DE"/>
        </w:rPr>
      </w:pPr>
      <w:hyperlink r:id="rId15" w:history="1">
        <w:r w:rsidRPr="00E72189">
          <w:rPr>
            <w:rStyle w:val="Hyperlink"/>
            <w:rFonts w:eastAsiaTheme="majorEastAsia" w:cs="Arial"/>
            <w:sz w:val="16"/>
            <w:szCs w:val="16"/>
            <w:lang w:eastAsia="de-DE"/>
          </w:rPr>
          <w:t>https://www.justiz.nrw.de/nrwe/arbgs/koeln/lag_koeln/j2018/4_Sa_290_17_Urteil_20180112.html</w:t>
        </w:r>
      </w:hyperlink>
    </w:p>
    <w:p w:rsidR="00EA284A" w:rsidRDefault="00EA284A" w:rsidP="00E72189">
      <w:pPr>
        <w:spacing w:after="0" w:line="240" w:lineRule="auto"/>
        <w:rPr>
          <w:rFonts w:cs="Arial"/>
          <w:sz w:val="20"/>
          <w:szCs w:val="20"/>
          <w:lang w:eastAsia="de-DE"/>
        </w:rPr>
      </w:pPr>
    </w:p>
    <w:p w:rsidR="00E72189" w:rsidRPr="00E72189" w:rsidRDefault="00E72189" w:rsidP="00E72189">
      <w:pPr>
        <w:spacing w:after="0" w:line="240" w:lineRule="auto"/>
        <w:jc w:val="center"/>
        <w:rPr>
          <w:rFonts w:cs="Arial"/>
          <w:b/>
          <w:bCs/>
          <w:sz w:val="20"/>
          <w:szCs w:val="20"/>
        </w:rPr>
      </w:pPr>
      <w:r w:rsidRPr="00E72189">
        <w:rPr>
          <w:rFonts w:cs="Arial"/>
          <w:b/>
          <w:bCs/>
          <w:sz w:val="20"/>
          <w:szCs w:val="20"/>
        </w:rPr>
        <w:t>X.</w:t>
      </w:r>
    </w:p>
    <w:p w:rsidR="00EA284A" w:rsidRPr="00E72189" w:rsidRDefault="00EA284A" w:rsidP="00E72189">
      <w:pPr>
        <w:spacing w:after="0" w:line="240" w:lineRule="auto"/>
        <w:jc w:val="center"/>
        <w:rPr>
          <w:rFonts w:cs="Arial"/>
          <w:bCs/>
          <w:sz w:val="20"/>
          <w:szCs w:val="20"/>
        </w:rPr>
      </w:pPr>
      <w:r w:rsidRPr="00E72189">
        <w:rPr>
          <w:rFonts w:cs="Arial"/>
          <w:bCs/>
          <w:sz w:val="20"/>
          <w:szCs w:val="20"/>
        </w:rPr>
        <w:t>L</w:t>
      </w:r>
      <w:r w:rsidR="00E72189" w:rsidRPr="00E72189">
        <w:rPr>
          <w:rFonts w:cs="Arial"/>
          <w:bCs/>
          <w:sz w:val="20"/>
          <w:szCs w:val="20"/>
        </w:rPr>
        <w:t>AG H</w:t>
      </w:r>
      <w:r w:rsidRPr="00E72189">
        <w:rPr>
          <w:rFonts w:cs="Arial"/>
          <w:bCs/>
          <w:sz w:val="20"/>
          <w:szCs w:val="20"/>
        </w:rPr>
        <w:t>amm</w:t>
      </w:r>
      <w:r w:rsidR="00E72189" w:rsidRPr="00E72189">
        <w:rPr>
          <w:rFonts w:cs="Arial"/>
          <w:bCs/>
          <w:sz w:val="20"/>
          <w:szCs w:val="20"/>
        </w:rPr>
        <w:t xml:space="preserve">, </w:t>
      </w:r>
      <w:r w:rsidRPr="00E72189">
        <w:rPr>
          <w:rFonts w:cs="Arial"/>
          <w:bCs/>
          <w:sz w:val="20"/>
          <w:szCs w:val="20"/>
        </w:rPr>
        <w:t>Urteil vom 16.02.2018 - 1 Sa 1476/17</w:t>
      </w:r>
    </w:p>
    <w:p w:rsidR="00EA284A" w:rsidRPr="00E72189" w:rsidRDefault="00EA284A" w:rsidP="00E72189">
      <w:pPr>
        <w:spacing w:after="0" w:line="240" w:lineRule="auto"/>
        <w:jc w:val="both"/>
        <w:rPr>
          <w:rFonts w:cs="Arial"/>
          <w:bCs/>
          <w:sz w:val="20"/>
          <w:szCs w:val="20"/>
          <w:lang w:eastAsia="de-DE"/>
        </w:rPr>
      </w:pPr>
    </w:p>
    <w:p w:rsidR="00EA284A" w:rsidRPr="00E72189" w:rsidRDefault="00EA284A" w:rsidP="00E72189">
      <w:pPr>
        <w:spacing w:after="0" w:line="240" w:lineRule="auto"/>
        <w:jc w:val="both"/>
        <w:rPr>
          <w:rFonts w:cs="Arial"/>
          <w:sz w:val="20"/>
          <w:szCs w:val="20"/>
          <w:lang w:eastAsia="de-DE"/>
        </w:rPr>
      </w:pPr>
      <w:r w:rsidRPr="00E72189">
        <w:rPr>
          <w:rFonts w:cs="Arial"/>
          <w:sz w:val="20"/>
          <w:szCs w:val="20"/>
          <w:lang w:eastAsia="de-DE"/>
        </w:rPr>
        <w:t>Vereinbaren Ausbilder und Auszubildender vor Abschluss des Berufsausbildungsverhältnisses ein sachgrundlos befristetes Anschlussarbeitsverhältnis, das „nach erfolgreichem Abschluss der Ausbildung“ beginnen soll, so beginnt das Arbeitsverhältnis nach allgemeinen Auslegungsgrundsätzen trotz der Fiktion einer Beendigung des Ausbildungsverhältnisses in § 21 Abs. 2 BBiG in dem Moment der Bekanntgabe des Prüfungsergebnisses regelmäßig erst am Tag, der auf die Beendigung des Ausbildungsverhältnisses folgt.</w:t>
      </w:r>
    </w:p>
    <w:p w:rsidR="00EA284A" w:rsidRPr="00E72189" w:rsidRDefault="00EA284A" w:rsidP="00E72189">
      <w:pPr>
        <w:spacing w:after="0" w:line="240" w:lineRule="auto"/>
        <w:jc w:val="both"/>
        <w:rPr>
          <w:rFonts w:cs="Arial"/>
          <w:b/>
          <w:bCs/>
          <w:sz w:val="20"/>
          <w:szCs w:val="20"/>
          <w:u w:val="single"/>
          <w:lang w:eastAsia="de-DE"/>
        </w:rPr>
      </w:pPr>
    </w:p>
    <w:p w:rsidR="00EA284A" w:rsidRPr="00E72189" w:rsidRDefault="00EA284A" w:rsidP="00E72189">
      <w:pPr>
        <w:spacing w:after="0" w:line="240" w:lineRule="auto"/>
        <w:jc w:val="both"/>
        <w:rPr>
          <w:rFonts w:cs="Arial"/>
          <w:b/>
          <w:bCs/>
          <w:color w:val="002060"/>
          <w:sz w:val="16"/>
          <w:szCs w:val="16"/>
          <w:u w:val="single"/>
          <w:lang w:eastAsia="de-DE"/>
        </w:rPr>
      </w:pPr>
      <w:r w:rsidRPr="00E72189">
        <w:rPr>
          <w:rFonts w:cs="Arial"/>
          <w:b/>
          <w:bCs/>
          <w:color w:val="002060"/>
          <w:sz w:val="16"/>
          <w:szCs w:val="16"/>
          <w:u w:val="single"/>
          <w:lang w:eastAsia="de-DE"/>
        </w:rPr>
        <w:t>Siehe:</w:t>
      </w:r>
    </w:p>
    <w:p w:rsidR="00EA284A" w:rsidRPr="00E72189" w:rsidRDefault="00EA284A" w:rsidP="00E72189">
      <w:pPr>
        <w:spacing w:after="0" w:line="240" w:lineRule="auto"/>
        <w:rPr>
          <w:rFonts w:cs="Arial"/>
          <w:sz w:val="16"/>
          <w:szCs w:val="16"/>
          <w:lang w:eastAsia="de-DE"/>
        </w:rPr>
      </w:pPr>
      <w:hyperlink r:id="rId16" w:history="1">
        <w:r w:rsidRPr="00E72189">
          <w:rPr>
            <w:rStyle w:val="Hyperlink"/>
            <w:rFonts w:eastAsiaTheme="majorEastAsia" w:cs="Arial"/>
            <w:sz w:val="16"/>
            <w:szCs w:val="16"/>
            <w:lang w:eastAsia="de-DE"/>
          </w:rPr>
          <w:t>https://www.justiz.nrw.de/nrwe/arbgs/hamm/lag_hamm/j2018/1_Sa_1476_17_Urteil_20180216.html</w:t>
        </w:r>
      </w:hyperlink>
    </w:p>
    <w:p w:rsidR="00EA284A" w:rsidRDefault="00EA284A" w:rsidP="00E72189">
      <w:pPr>
        <w:spacing w:after="0" w:line="240" w:lineRule="auto"/>
        <w:jc w:val="both"/>
        <w:rPr>
          <w:rFonts w:cs="Arial"/>
          <w:b/>
          <w:sz w:val="20"/>
          <w:szCs w:val="20"/>
        </w:rPr>
      </w:pPr>
    </w:p>
    <w:p w:rsidR="00E72189" w:rsidRDefault="00E72189" w:rsidP="00E72189">
      <w:pPr>
        <w:spacing w:after="0" w:line="240" w:lineRule="auto"/>
        <w:jc w:val="both"/>
        <w:rPr>
          <w:rFonts w:cs="Arial"/>
          <w:b/>
          <w:sz w:val="20"/>
          <w:szCs w:val="20"/>
        </w:rPr>
      </w:pPr>
    </w:p>
    <w:p w:rsidR="00E72189" w:rsidRDefault="00E72189" w:rsidP="00E72189">
      <w:pPr>
        <w:spacing w:after="0" w:line="240" w:lineRule="auto"/>
        <w:jc w:val="both"/>
        <w:rPr>
          <w:rFonts w:cs="Arial"/>
          <w:b/>
          <w:sz w:val="20"/>
          <w:szCs w:val="20"/>
        </w:rPr>
      </w:pPr>
    </w:p>
    <w:p w:rsidR="00E72189" w:rsidRPr="009F2A22" w:rsidRDefault="00E72189" w:rsidP="00E72189">
      <w:pPr>
        <w:spacing w:after="0" w:line="240" w:lineRule="auto"/>
        <w:rPr>
          <w:sz w:val="20"/>
          <w:szCs w:val="20"/>
        </w:rPr>
      </w:pPr>
      <w:r w:rsidRPr="009F2A22">
        <w:rPr>
          <w:sz w:val="20"/>
          <w:szCs w:val="20"/>
        </w:rPr>
        <w:t>Für Rückfragen stehe ich Ihnen gerne zur Verfügung.</w:t>
      </w:r>
    </w:p>
    <w:p w:rsidR="00E72189" w:rsidRDefault="00E72189" w:rsidP="00E72189">
      <w:pPr>
        <w:spacing w:after="0" w:line="240" w:lineRule="auto"/>
        <w:rPr>
          <w:sz w:val="20"/>
          <w:szCs w:val="20"/>
        </w:rPr>
      </w:pPr>
    </w:p>
    <w:p w:rsidR="00E72189" w:rsidRPr="009F2A22" w:rsidRDefault="00E72189" w:rsidP="00E72189">
      <w:pPr>
        <w:spacing w:after="0" w:line="240" w:lineRule="auto"/>
        <w:rPr>
          <w:sz w:val="20"/>
          <w:szCs w:val="20"/>
        </w:rPr>
      </w:pPr>
    </w:p>
    <w:p w:rsidR="00E72189" w:rsidRPr="009F2A22" w:rsidRDefault="00E72189" w:rsidP="00E72189">
      <w:pPr>
        <w:spacing w:after="0" w:line="240" w:lineRule="auto"/>
        <w:rPr>
          <w:sz w:val="20"/>
          <w:szCs w:val="20"/>
        </w:rPr>
      </w:pPr>
      <w:r w:rsidRPr="009F2A22">
        <w:rPr>
          <w:sz w:val="20"/>
          <w:szCs w:val="20"/>
        </w:rPr>
        <w:t>Michael Henn</w:t>
      </w:r>
    </w:p>
    <w:p w:rsidR="00E72189" w:rsidRPr="009F2A22" w:rsidRDefault="00E72189" w:rsidP="00E72189">
      <w:pPr>
        <w:spacing w:after="0" w:line="240" w:lineRule="auto"/>
        <w:rPr>
          <w:sz w:val="20"/>
          <w:szCs w:val="20"/>
        </w:rPr>
      </w:pPr>
      <w:r w:rsidRPr="009F2A22">
        <w:rPr>
          <w:sz w:val="20"/>
          <w:szCs w:val="20"/>
        </w:rPr>
        <w:t>Rechtsanwalt</w:t>
      </w:r>
    </w:p>
    <w:p w:rsidR="00E72189" w:rsidRPr="009F2A22" w:rsidRDefault="00E72189" w:rsidP="00E72189">
      <w:pPr>
        <w:spacing w:after="0" w:line="240" w:lineRule="auto"/>
        <w:rPr>
          <w:sz w:val="20"/>
          <w:szCs w:val="20"/>
        </w:rPr>
      </w:pPr>
      <w:r w:rsidRPr="009F2A22">
        <w:rPr>
          <w:sz w:val="20"/>
          <w:szCs w:val="20"/>
        </w:rPr>
        <w:t>Fachanwalt für Erbrecht</w:t>
      </w:r>
    </w:p>
    <w:p w:rsidR="00E72189" w:rsidRPr="009F2A22" w:rsidRDefault="00E72189" w:rsidP="00E72189">
      <w:pPr>
        <w:spacing w:after="0" w:line="240" w:lineRule="auto"/>
        <w:rPr>
          <w:sz w:val="20"/>
          <w:szCs w:val="20"/>
        </w:rPr>
      </w:pPr>
      <w:r w:rsidRPr="009F2A22">
        <w:rPr>
          <w:sz w:val="20"/>
          <w:szCs w:val="20"/>
        </w:rPr>
        <w:t xml:space="preserve">Fachanwalt für Arbeitsrecht </w:t>
      </w:r>
    </w:p>
    <w:p w:rsidR="00E72189" w:rsidRPr="009F2A22" w:rsidRDefault="00E72189" w:rsidP="00E72189">
      <w:pPr>
        <w:spacing w:after="0" w:line="240" w:lineRule="auto"/>
        <w:rPr>
          <w:sz w:val="20"/>
          <w:szCs w:val="20"/>
        </w:rPr>
      </w:pPr>
      <w:r w:rsidRPr="009F2A22">
        <w:rPr>
          <w:sz w:val="20"/>
          <w:szCs w:val="20"/>
        </w:rPr>
        <w:t xml:space="preserve">Schriftleiter mittelstandsdepesche </w:t>
      </w:r>
    </w:p>
    <w:p w:rsidR="00E72189" w:rsidRPr="009F2A22" w:rsidRDefault="00E72189" w:rsidP="00E72189">
      <w:pPr>
        <w:spacing w:after="0" w:line="240" w:lineRule="auto"/>
        <w:rPr>
          <w:sz w:val="20"/>
          <w:szCs w:val="20"/>
        </w:rPr>
      </w:pPr>
      <w:r w:rsidRPr="009F2A22">
        <w:rPr>
          <w:sz w:val="20"/>
          <w:szCs w:val="20"/>
        </w:rPr>
        <w:t>Rechtsanwälte Dr. Gaupp &amp; Coll.</w:t>
      </w:r>
    </w:p>
    <w:p w:rsidR="00E72189" w:rsidRPr="009F2A22" w:rsidRDefault="00E72189" w:rsidP="00E72189">
      <w:pPr>
        <w:spacing w:after="0" w:line="240" w:lineRule="auto"/>
        <w:rPr>
          <w:sz w:val="20"/>
          <w:szCs w:val="20"/>
        </w:rPr>
      </w:pPr>
      <w:r w:rsidRPr="009F2A22">
        <w:rPr>
          <w:sz w:val="20"/>
          <w:szCs w:val="20"/>
        </w:rPr>
        <w:t xml:space="preserve">Kronprinzstr. 14 </w:t>
      </w:r>
    </w:p>
    <w:p w:rsidR="00E72189" w:rsidRPr="009F2A22" w:rsidRDefault="00E72189" w:rsidP="00E72189">
      <w:pPr>
        <w:spacing w:after="0" w:line="240" w:lineRule="auto"/>
        <w:rPr>
          <w:sz w:val="20"/>
          <w:szCs w:val="20"/>
        </w:rPr>
      </w:pPr>
      <w:r w:rsidRPr="009F2A22">
        <w:rPr>
          <w:sz w:val="20"/>
          <w:szCs w:val="20"/>
        </w:rPr>
        <w:t>70173 Stuttgart</w:t>
      </w:r>
    </w:p>
    <w:p w:rsidR="00E72189" w:rsidRPr="009F2A22" w:rsidRDefault="00E72189" w:rsidP="00E72189">
      <w:pPr>
        <w:spacing w:after="0" w:line="240" w:lineRule="auto"/>
        <w:rPr>
          <w:sz w:val="20"/>
          <w:szCs w:val="20"/>
        </w:rPr>
      </w:pPr>
      <w:r w:rsidRPr="009F2A22">
        <w:rPr>
          <w:sz w:val="20"/>
          <w:szCs w:val="20"/>
        </w:rPr>
        <w:t>Tel.: 0711/ 30 58 93-0</w:t>
      </w:r>
      <w:r w:rsidRPr="009F2A22">
        <w:rPr>
          <w:sz w:val="20"/>
          <w:szCs w:val="20"/>
        </w:rPr>
        <w:tab/>
      </w:r>
      <w:r w:rsidRPr="009F2A22">
        <w:rPr>
          <w:sz w:val="20"/>
          <w:szCs w:val="20"/>
        </w:rPr>
        <w:tab/>
        <w:t>Fax: 0711/ 30 58 93-11</w:t>
      </w:r>
    </w:p>
    <w:p w:rsidR="00E72189" w:rsidRPr="009F2A22" w:rsidRDefault="00E72189" w:rsidP="00E72189">
      <w:pPr>
        <w:spacing w:after="0" w:line="240" w:lineRule="auto"/>
        <w:rPr>
          <w:sz w:val="20"/>
          <w:szCs w:val="20"/>
        </w:rPr>
      </w:pPr>
      <w:r>
        <w:rPr>
          <w:sz w:val="20"/>
          <w:szCs w:val="20"/>
        </w:rPr>
        <w:t>E</w:t>
      </w:r>
      <w:r w:rsidRPr="009F2A22">
        <w:rPr>
          <w:sz w:val="20"/>
          <w:szCs w:val="20"/>
        </w:rPr>
        <w:t>-Mail: henn@drgaupp.de</w:t>
      </w:r>
      <w:r w:rsidRPr="009F2A22">
        <w:rPr>
          <w:sz w:val="20"/>
          <w:szCs w:val="20"/>
        </w:rPr>
        <w:tab/>
        <w:t>www.drgaupp.de</w:t>
      </w:r>
    </w:p>
    <w:p w:rsidR="00E72189" w:rsidRPr="009F2A22" w:rsidRDefault="00E72189" w:rsidP="00E72189">
      <w:pPr>
        <w:spacing w:after="0" w:line="240" w:lineRule="auto"/>
        <w:jc w:val="both"/>
        <w:rPr>
          <w:rFonts w:cs="Arial"/>
          <w:sz w:val="20"/>
          <w:szCs w:val="20"/>
        </w:rPr>
      </w:pPr>
    </w:p>
    <w:p w:rsidR="00E72189" w:rsidRPr="00B25512" w:rsidRDefault="00E72189" w:rsidP="00E72189">
      <w:pPr>
        <w:spacing w:after="0" w:line="240" w:lineRule="auto"/>
        <w:jc w:val="both"/>
        <w:rPr>
          <w:rFonts w:cs="Arial"/>
          <w:b/>
          <w:sz w:val="20"/>
          <w:szCs w:val="20"/>
        </w:rPr>
      </w:pPr>
    </w:p>
    <w:sectPr w:rsidR="00E72189" w:rsidRPr="00B25512">
      <w:head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9EE" w:rsidRDefault="007779EE" w:rsidP="000B5216">
      <w:pPr>
        <w:spacing w:after="0" w:line="240" w:lineRule="auto"/>
      </w:pPr>
      <w:r>
        <w:separator/>
      </w:r>
    </w:p>
  </w:endnote>
  <w:endnote w:type="continuationSeparator" w:id="0">
    <w:p w:rsidR="007779EE" w:rsidRDefault="007779EE" w:rsidP="000B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9EE" w:rsidRDefault="007779EE" w:rsidP="000B5216">
      <w:pPr>
        <w:spacing w:after="0" w:line="240" w:lineRule="auto"/>
      </w:pPr>
      <w:r>
        <w:separator/>
      </w:r>
    </w:p>
  </w:footnote>
  <w:footnote w:type="continuationSeparator" w:id="0">
    <w:p w:rsidR="007779EE" w:rsidRDefault="007779EE" w:rsidP="000B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16" w:rsidRPr="00430F8A" w:rsidRDefault="000B5216" w:rsidP="000B5216">
    <w:pPr>
      <w:tabs>
        <w:tab w:val="center" w:pos="4819"/>
        <w:tab w:val="right" w:pos="9071"/>
      </w:tabs>
      <w:spacing w:after="0" w:line="240" w:lineRule="auto"/>
      <w:jc w:val="center"/>
      <w:rPr>
        <w:rFonts w:cs="Arial"/>
        <w:sz w:val="24"/>
        <w:szCs w:val="20"/>
        <w:lang w:val="en-US" w:eastAsia="de-DE"/>
      </w:rPr>
    </w:pPr>
    <w:r w:rsidRPr="00430F8A">
      <w:rPr>
        <w:rFonts w:cs="Arial"/>
        <w:b/>
        <w:bCs/>
        <w:sz w:val="28"/>
        <w:szCs w:val="28"/>
        <w:lang w:val="en-US" w:eastAsia="de-DE"/>
      </w:rPr>
      <w:t xml:space="preserve">mittelstandsdepesche </w:t>
    </w:r>
    <w:r>
      <w:rPr>
        <w:rFonts w:cs="Arial"/>
        <w:b/>
        <w:bCs/>
        <w:sz w:val="28"/>
        <w:szCs w:val="28"/>
        <w:lang w:val="en-US" w:eastAsia="de-DE"/>
      </w:rPr>
      <w:t>03</w:t>
    </w:r>
    <w:r w:rsidRPr="00430F8A">
      <w:rPr>
        <w:rFonts w:cs="Arial"/>
        <w:b/>
        <w:bCs/>
        <w:sz w:val="28"/>
        <w:szCs w:val="28"/>
        <w:lang w:val="en-US" w:eastAsia="de-DE"/>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5A4"/>
    <w:multiLevelType w:val="hybridMultilevel"/>
    <w:tmpl w:val="5DA4E20C"/>
    <w:lvl w:ilvl="0" w:tplc="0407000F">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 w15:restartNumberingAfterBreak="0">
    <w:nsid w:val="0F86495B"/>
    <w:multiLevelType w:val="hybridMultilevel"/>
    <w:tmpl w:val="5282CD30"/>
    <w:lvl w:ilvl="0" w:tplc="04070017">
      <w:start w:val="1"/>
      <w:numFmt w:val="lowerLetter"/>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2" w15:restartNumberingAfterBreak="0">
    <w:nsid w:val="1167425A"/>
    <w:multiLevelType w:val="multilevel"/>
    <w:tmpl w:val="5F2E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81004"/>
    <w:multiLevelType w:val="multilevel"/>
    <w:tmpl w:val="253E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14520"/>
    <w:multiLevelType w:val="multilevel"/>
    <w:tmpl w:val="56C6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F1496B"/>
    <w:multiLevelType w:val="hybridMultilevel"/>
    <w:tmpl w:val="74F0979E"/>
    <w:lvl w:ilvl="0" w:tplc="04070017">
      <w:start w:val="1"/>
      <w:numFmt w:val="lowerLetter"/>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6" w15:restartNumberingAfterBreak="0">
    <w:nsid w:val="58870380"/>
    <w:multiLevelType w:val="multilevel"/>
    <w:tmpl w:val="E1C8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C02B6"/>
    <w:multiLevelType w:val="multilevel"/>
    <w:tmpl w:val="610A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2"/>
  </w:num>
  <w:num w:numId="5">
    <w:abstractNumId w:val="3"/>
  </w:num>
  <w:num w:numId="6">
    <w:abstractNumId w:val="7"/>
  </w:num>
  <w:num w:numId="7">
    <w:abstractNumId w:val="5"/>
    <w:lvlOverride w:ilvl="0">
      <w:lvl w:ilvl="0" w:tplc="04070017">
        <w:start w:val="1"/>
        <w:numFmt w:val="lowerLetter"/>
        <w:lvlText w:val="%1)"/>
        <w:lvlJc w:val="left"/>
        <w:pPr>
          <w:tabs>
            <w:tab w:val="num" w:pos="567"/>
          </w:tabs>
          <w:ind w:left="567" w:hanging="567"/>
        </w:pPr>
        <w:rPr>
          <w:rFonts w:cs="Times New Roman" w:hint="default"/>
        </w:rPr>
      </w:lvl>
    </w:lvlOverride>
    <w:lvlOverride w:ilvl="1">
      <w:lvl w:ilvl="1" w:tplc="04070019" w:tentative="1">
        <w:start w:val="1"/>
        <w:numFmt w:val="lowerLetter"/>
        <w:lvlText w:val="%2."/>
        <w:lvlJc w:val="left"/>
        <w:pPr>
          <w:ind w:left="1440" w:hanging="360"/>
        </w:pPr>
        <w:rPr>
          <w:rFonts w:cs="Times New Roman"/>
        </w:rPr>
      </w:lvl>
    </w:lvlOverride>
    <w:lvlOverride w:ilvl="2">
      <w:lvl w:ilvl="2" w:tplc="0407001B" w:tentative="1">
        <w:start w:val="1"/>
        <w:numFmt w:val="lowerRoman"/>
        <w:lvlText w:val="%3."/>
        <w:lvlJc w:val="right"/>
        <w:pPr>
          <w:ind w:left="2160" w:hanging="180"/>
        </w:pPr>
        <w:rPr>
          <w:rFonts w:cs="Times New Roman"/>
        </w:rPr>
      </w:lvl>
    </w:lvlOverride>
    <w:lvlOverride w:ilvl="3">
      <w:lvl w:ilvl="3" w:tplc="0407000F" w:tentative="1">
        <w:start w:val="1"/>
        <w:numFmt w:val="decimal"/>
        <w:lvlText w:val="%4."/>
        <w:lvlJc w:val="left"/>
        <w:pPr>
          <w:ind w:left="2880" w:hanging="360"/>
        </w:pPr>
        <w:rPr>
          <w:rFonts w:cs="Times New Roman"/>
        </w:rPr>
      </w:lvl>
    </w:lvlOverride>
    <w:lvlOverride w:ilvl="4">
      <w:lvl w:ilvl="4" w:tplc="04070019" w:tentative="1">
        <w:start w:val="1"/>
        <w:numFmt w:val="lowerLetter"/>
        <w:lvlText w:val="%5."/>
        <w:lvlJc w:val="left"/>
        <w:pPr>
          <w:ind w:left="3600" w:hanging="360"/>
        </w:pPr>
        <w:rPr>
          <w:rFonts w:cs="Times New Roman"/>
        </w:rPr>
      </w:lvl>
    </w:lvlOverride>
    <w:lvlOverride w:ilvl="5">
      <w:lvl w:ilvl="5" w:tplc="0407001B" w:tentative="1">
        <w:start w:val="1"/>
        <w:numFmt w:val="lowerRoman"/>
        <w:lvlText w:val="%6."/>
        <w:lvlJc w:val="right"/>
        <w:pPr>
          <w:ind w:left="4320" w:hanging="180"/>
        </w:pPr>
        <w:rPr>
          <w:rFonts w:cs="Times New Roman"/>
        </w:rPr>
      </w:lvl>
    </w:lvlOverride>
    <w:lvlOverride w:ilvl="6">
      <w:lvl w:ilvl="6" w:tplc="0407000F" w:tentative="1">
        <w:start w:val="1"/>
        <w:numFmt w:val="decimal"/>
        <w:lvlText w:val="%7."/>
        <w:lvlJc w:val="left"/>
        <w:pPr>
          <w:ind w:left="5040" w:hanging="360"/>
        </w:pPr>
        <w:rPr>
          <w:rFonts w:cs="Times New Roman"/>
        </w:rPr>
      </w:lvl>
    </w:lvlOverride>
    <w:lvlOverride w:ilvl="7">
      <w:lvl w:ilvl="7" w:tplc="04070019" w:tentative="1">
        <w:start w:val="1"/>
        <w:numFmt w:val="lowerLetter"/>
        <w:lvlText w:val="%8."/>
        <w:lvlJc w:val="left"/>
        <w:pPr>
          <w:ind w:left="5760" w:hanging="360"/>
        </w:pPr>
        <w:rPr>
          <w:rFonts w:cs="Times New Roman"/>
        </w:rPr>
      </w:lvl>
    </w:lvlOverride>
    <w:lvlOverride w:ilvl="8">
      <w:lvl w:ilvl="8" w:tplc="0407001B" w:tentative="1">
        <w:start w:val="1"/>
        <w:numFmt w:val="lowerRoman"/>
        <w:lvlText w:val="%9."/>
        <w:lvlJc w:val="right"/>
        <w:pPr>
          <w:ind w:left="6480" w:hanging="180"/>
        </w:pPr>
        <w:rPr>
          <w:rFonts w:cs="Times New Roman"/>
        </w:rPr>
      </w:lvl>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F0"/>
    <w:rsid w:val="00033EF7"/>
    <w:rsid w:val="000B5216"/>
    <w:rsid w:val="00190969"/>
    <w:rsid w:val="00240FF0"/>
    <w:rsid w:val="002E452D"/>
    <w:rsid w:val="00346242"/>
    <w:rsid w:val="00430F8A"/>
    <w:rsid w:val="004708E8"/>
    <w:rsid w:val="0056060A"/>
    <w:rsid w:val="007779EE"/>
    <w:rsid w:val="009642A3"/>
    <w:rsid w:val="009F2A22"/>
    <w:rsid w:val="00B25512"/>
    <w:rsid w:val="00B94A82"/>
    <w:rsid w:val="00C135D8"/>
    <w:rsid w:val="00D32887"/>
    <w:rsid w:val="00E72189"/>
    <w:rsid w:val="00EA284A"/>
    <w:rsid w:val="00EC2F1F"/>
    <w:rsid w:val="00EC6D5D"/>
    <w:rsid w:val="00EE4791"/>
    <w:rsid w:val="00F05CB4"/>
    <w:rsid w:val="00F25A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949B0F-428C-48FA-8A45-D066ACB7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2">
    <w:name w:val="heading 2"/>
    <w:basedOn w:val="Standard"/>
    <w:next w:val="Standard"/>
    <w:link w:val="berschrift2Zchn"/>
    <w:uiPriority w:val="9"/>
    <w:semiHidden/>
    <w:unhideWhenUsed/>
    <w:qFormat/>
    <w:rsid w:val="00B25512"/>
    <w:pPr>
      <w:keepNext/>
      <w:keepLines/>
      <w:spacing w:before="40" w:after="0"/>
      <w:outlineLvl w:val="1"/>
    </w:pPr>
    <w:rPr>
      <w:rFonts w:asciiTheme="majorHAnsi" w:eastAsiaTheme="majorEastAsia" w:hAnsiTheme="majorHAnsi"/>
      <w:color w:val="2E74B5" w:themeColor="accent1" w:themeShade="BF"/>
      <w:sz w:val="26"/>
      <w:szCs w:val="26"/>
    </w:rPr>
  </w:style>
  <w:style w:type="paragraph" w:styleId="berschrift3">
    <w:name w:val="heading 3"/>
    <w:basedOn w:val="Standard"/>
    <w:link w:val="berschrift3Zchn"/>
    <w:uiPriority w:val="9"/>
    <w:semiHidden/>
    <w:unhideWhenUsed/>
    <w:qFormat/>
    <w:rsid w:val="00240FF0"/>
    <w:pPr>
      <w:spacing w:after="75" w:line="240" w:lineRule="atLeast"/>
      <w:outlineLvl w:val="2"/>
    </w:pPr>
    <w:rPr>
      <w:rFonts w:ascii="Times New Roman" w:hAnsi="Times New Roman"/>
      <w:b/>
      <w:bCs/>
      <w:sz w:val="24"/>
      <w:szCs w:val="24"/>
      <w:lang w:eastAsia="de-DE"/>
    </w:rPr>
  </w:style>
  <w:style w:type="paragraph" w:styleId="berschrift4">
    <w:name w:val="heading 4"/>
    <w:basedOn w:val="Standard"/>
    <w:link w:val="berschrift4Zchn"/>
    <w:uiPriority w:val="9"/>
    <w:semiHidden/>
    <w:unhideWhenUsed/>
    <w:qFormat/>
    <w:rsid w:val="00240FF0"/>
    <w:pPr>
      <w:spacing w:after="150" w:line="240" w:lineRule="auto"/>
      <w:outlineLvl w:val="3"/>
    </w:pPr>
    <w:rPr>
      <w:rFonts w:ascii="Times New Roman" w:hAnsi="Times New Roman"/>
      <w:color w:val="666666"/>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locked/>
    <w:rsid w:val="00B25512"/>
    <w:rPr>
      <w:rFonts w:asciiTheme="majorHAnsi" w:eastAsiaTheme="majorEastAsia" w:hAnsiTheme="majorHAnsi" w:cs="Times New Roman"/>
      <w:color w:val="2E74B5" w:themeColor="accent1" w:themeShade="BF"/>
      <w:sz w:val="26"/>
      <w:szCs w:val="26"/>
    </w:rPr>
  </w:style>
  <w:style w:type="character" w:customStyle="1" w:styleId="berschrift3Zchn">
    <w:name w:val="Überschrift 3 Zchn"/>
    <w:basedOn w:val="Absatz-Standardschriftart"/>
    <w:link w:val="berschrift3"/>
    <w:uiPriority w:val="9"/>
    <w:semiHidden/>
    <w:locked/>
    <w:rsid w:val="00240FF0"/>
    <w:rPr>
      <w:rFonts w:ascii="Times New Roman" w:hAnsi="Times New Roman" w:cs="Times New Roman"/>
      <w:b/>
      <w:bCs/>
      <w:sz w:val="24"/>
      <w:szCs w:val="24"/>
      <w:lang w:val="x-none" w:eastAsia="de-DE"/>
    </w:rPr>
  </w:style>
  <w:style w:type="character" w:customStyle="1" w:styleId="berschrift4Zchn">
    <w:name w:val="Überschrift 4 Zchn"/>
    <w:basedOn w:val="Absatz-Standardschriftart"/>
    <w:link w:val="berschrift4"/>
    <w:uiPriority w:val="9"/>
    <w:semiHidden/>
    <w:locked/>
    <w:rsid w:val="00240FF0"/>
    <w:rPr>
      <w:rFonts w:ascii="Times New Roman" w:hAnsi="Times New Roman" w:cs="Times New Roman"/>
      <w:color w:val="666666"/>
      <w:sz w:val="21"/>
      <w:szCs w:val="21"/>
      <w:lang w:val="x-none" w:eastAsia="de-DE"/>
    </w:rPr>
  </w:style>
  <w:style w:type="paragraph" w:styleId="Kopfzeile">
    <w:name w:val="header"/>
    <w:basedOn w:val="Standard"/>
    <w:link w:val="KopfzeileZchn"/>
    <w:uiPriority w:val="99"/>
    <w:unhideWhenUsed/>
    <w:rsid w:val="000B52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0B5216"/>
    <w:rPr>
      <w:rFonts w:cs="Times New Roman"/>
    </w:rPr>
  </w:style>
  <w:style w:type="paragraph" w:styleId="Fuzeile">
    <w:name w:val="footer"/>
    <w:basedOn w:val="Standard"/>
    <w:link w:val="FuzeileZchn"/>
    <w:uiPriority w:val="99"/>
    <w:unhideWhenUsed/>
    <w:rsid w:val="000B5216"/>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0B5216"/>
    <w:rPr>
      <w:rFonts w:cs="Times New Roman"/>
    </w:rPr>
  </w:style>
  <w:style w:type="paragraph" w:styleId="Listenabsatz">
    <w:name w:val="List Paragraph"/>
    <w:basedOn w:val="Standard"/>
    <w:uiPriority w:val="34"/>
    <w:qFormat/>
    <w:rsid w:val="00B25512"/>
    <w:pPr>
      <w:ind w:left="720"/>
      <w:contextualSpacing/>
    </w:pPr>
  </w:style>
  <w:style w:type="character" w:styleId="Fett">
    <w:name w:val="Strong"/>
    <w:basedOn w:val="Absatz-Standardschriftart"/>
    <w:uiPriority w:val="22"/>
    <w:qFormat/>
    <w:rsid w:val="00B25512"/>
    <w:rPr>
      <w:rFonts w:cs="Times New Roman"/>
      <w:b/>
      <w:bCs/>
    </w:rPr>
  </w:style>
  <w:style w:type="character" w:styleId="Hyperlink">
    <w:name w:val="Hyperlink"/>
    <w:basedOn w:val="Absatz-Standardschriftart"/>
    <w:uiPriority w:val="99"/>
    <w:semiHidden/>
    <w:unhideWhenUsed/>
    <w:rsid w:val="00B25512"/>
    <w:rPr>
      <w:rFonts w:cs="Times New Roman"/>
      <w:color w:val="0000FF"/>
      <w:u w:val="single"/>
    </w:rPr>
  </w:style>
  <w:style w:type="character" w:customStyle="1" w:styleId="doclink">
    <w:name w:val="doclink"/>
    <w:basedOn w:val="Absatz-Standardschriftart"/>
    <w:rsid w:val="00B25512"/>
    <w:rPr>
      <w:rFonts w:cs="Times New Roman"/>
    </w:rPr>
  </w:style>
  <w:style w:type="paragraph" w:styleId="StandardWeb">
    <w:name w:val="Normal (Web)"/>
    <w:basedOn w:val="Standard"/>
    <w:uiPriority w:val="99"/>
    <w:semiHidden/>
    <w:unhideWhenUsed/>
    <w:rsid w:val="00B25512"/>
    <w:pPr>
      <w:spacing w:before="100" w:beforeAutospacing="1" w:after="100" w:afterAutospacing="1" w:line="240" w:lineRule="auto"/>
    </w:pPr>
    <w:rPr>
      <w:rFonts w:ascii="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386433">
      <w:marLeft w:val="0"/>
      <w:marRight w:val="0"/>
      <w:marTop w:val="0"/>
      <w:marBottom w:val="0"/>
      <w:divBdr>
        <w:top w:val="none" w:sz="0" w:space="0" w:color="auto"/>
        <w:left w:val="none" w:sz="0" w:space="0" w:color="auto"/>
        <w:bottom w:val="none" w:sz="0" w:space="0" w:color="auto"/>
        <w:right w:val="none" w:sz="0" w:space="0" w:color="auto"/>
      </w:divBdr>
      <w:divsChild>
        <w:div w:id="2107386444">
          <w:marLeft w:val="0"/>
          <w:marRight w:val="0"/>
          <w:marTop w:val="0"/>
          <w:marBottom w:val="0"/>
          <w:divBdr>
            <w:top w:val="none" w:sz="0" w:space="0" w:color="auto"/>
            <w:left w:val="none" w:sz="0" w:space="0" w:color="auto"/>
            <w:bottom w:val="none" w:sz="0" w:space="0" w:color="auto"/>
            <w:right w:val="none" w:sz="0" w:space="0" w:color="auto"/>
          </w:divBdr>
        </w:div>
        <w:div w:id="2107386452">
          <w:marLeft w:val="0"/>
          <w:marRight w:val="0"/>
          <w:marTop w:val="0"/>
          <w:marBottom w:val="0"/>
          <w:divBdr>
            <w:top w:val="none" w:sz="0" w:space="0" w:color="auto"/>
            <w:left w:val="none" w:sz="0" w:space="0" w:color="auto"/>
            <w:bottom w:val="none" w:sz="0" w:space="0" w:color="auto"/>
            <w:right w:val="none" w:sz="0" w:space="0" w:color="auto"/>
          </w:divBdr>
          <w:divsChild>
            <w:div w:id="2107386413">
              <w:marLeft w:val="0"/>
              <w:marRight w:val="0"/>
              <w:marTop w:val="0"/>
              <w:marBottom w:val="0"/>
              <w:divBdr>
                <w:top w:val="none" w:sz="0" w:space="0" w:color="auto"/>
                <w:left w:val="none" w:sz="0" w:space="0" w:color="auto"/>
                <w:bottom w:val="none" w:sz="0" w:space="0" w:color="auto"/>
                <w:right w:val="none" w:sz="0" w:space="0" w:color="auto"/>
              </w:divBdr>
              <w:divsChild>
                <w:div w:id="2107386410">
                  <w:marLeft w:val="0"/>
                  <w:marRight w:val="0"/>
                  <w:marTop w:val="0"/>
                  <w:marBottom w:val="0"/>
                  <w:divBdr>
                    <w:top w:val="none" w:sz="0" w:space="0" w:color="auto"/>
                    <w:left w:val="none" w:sz="0" w:space="0" w:color="auto"/>
                    <w:bottom w:val="none" w:sz="0" w:space="0" w:color="auto"/>
                    <w:right w:val="none" w:sz="0" w:space="0" w:color="auto"/>
                  </w:divBdr>
                  <w:divsChild>
                    <w:div w:id="2107386411">
                      <w:marLeft w:val="0"/>
                      <w:marRight w:val="0"/>
                      <w:marTop w:val="0"/>
                      <w:marBottom w:val="0"/>
                      <w:divBdr>
                        <w:top w:val="none" w:sz="0" w:space="0" w:color="auto"/>
                        <w:left w:val="none" w:sz="0" w:space="0" w:color="auto"/>
                        <w:bottom w:val="none" w:sz="0" w:space="0" w:color="auto"/>
                        <w:right w:val="none" w:sz="0" w:space="0" w:color="auto"/>
                      </w:divBdr>
                    </w:div>
                  </w:divsChild>
                </w:div>
                <w:div w:id="21073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6459">
          <w:marLeft w:val="0"/>
          <w:marRight w:val="0"/>
          <w:marTop w:val="0"/>
          <w:marBottom w:val="0"/>
          <w:divBdr>
            <w:top w:val="none" w:sz="0" w:space="0" w:color="auto"/>
            <w:left w:val="none" w:sz="0" w:space="0" w:color="auto"/>
            <w:bottom w:val="none" w:sz="0" w:space="0" w:color="auto"/>
            <w:right w:val="none" w:sz="0" w:space="0" w:color="auto"/>
          </w:divBdr>
          <w:divsChild>
            <w:div w:id="2107386405">
              <w:marLeft w:val="0"/>
              <w:marRight w:val="0"/>
              <w:marTop w:val="0"/>
              <w:marBottom w:val="0"/>
              <w:divBdr>
                <w:top w:val="none" w:sz="0" w:space="0" w:color="auto"/>
                <w:left w:val="none" w:sz="0" w:space="0" w:color="auto"/>
                <w:bottom w:val="none" w:sz="0" w:space="0" w:color="auto"/>
                <w:right w:val="none" w:sz="0" w:space="0" w:color="auto"/>
              </w:divBdr>
              <w:divsChild>
                <w:div w:id="21073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6446">
      <w:marLeft w:val="0"/>
      <w:marRight w:val="0"/>
      <w:marTop w:val="0"/>
      <w:marBottom w:val="0"/>
      <w:divBdr>
        <w:top w:val="none" w:sz="0" w:space="0" w:color="auto"/>
        <w:left w:val="none" w:sz="0" w:space="0" w:color="auto"/>
        <w:bottom w:val="none" w:sz="0" w:space="0" w:color="auto"/>
        <w:right w:val="none" w:sz="0" w:space="0" w:color="auto"/>
      </w:divBdr>
    </w:div>
    <w:div w:id="2107386447">
      <w:marLeft w:val="0"/>
      <w:marRight w:val="0"/>
      <w:marTop w:val="0"/>
      <w:marBottom w:val="0"/>
      <w:divBdr>
        <w:top w:val="none" w:sz="0" w:space="0" w:color="auto"/>
        <w:left w:val="none" w:sz="0" w:space="0" w:color="auto"/>
        <w:bottom w:val="none" w:sz="0" w:space="0" w:color="auto"/>
        <w:right w:val="none" w:sz="0" w:space="0" w:color="auto"/>
      </w:divBdr>
    </w:div>
    <w:div w:id="2107386449">
      <w:marLeft w:val="0"/>
      <w:marRight w:val="0"/>
      <w:marTop w:val="0"/>
      <w:marBottom w:val="0"/>
      <w:divBdr>
        <w:top w:val="none" w:sz="0" w:space="0" w:color="auto"/>
        <w:left w:val="none" w:sz="0" w:space="0" w:color="auto"/>
        <w:bottom w:val="none" w:sz="0" w:space="0" w:color="auto"/>
        <w:right w:val="none" w:sz="0" w:space="0" w:color="auto"/>
      </w:divBdr>
      <w:divsChild>
        <w:div w:id="2107386440">
          <w:marLeft w:val="0"/>
          <w:marRight w:val="0"/>
          <w:marTop w:val="0"/>
          <w:marBottom w:val="0"/>
          <w:divBdr>
            <w:top w:val="none" w:sz="0" w:space="0" w:color="auto"/>
            <w:left w:val="none" w:sz="0" w:space="0" w:color="auto"/>
            <w:bottom w:val="none" w:sz="0" w:space="0" w:color="auto"/>
            <w:right w:val="none" w:sz="0" w:space="0" w:color="auto"/>
          </w:divBdr>
          <w:divsChild>
            <w:div w:id="2107386438">
              <w:marLeft w:val="0"/>
              <w:marRight w:val="0"/>
              <w:marTop w:val="0"/>
              <w:marBottom w:val="0"/>
              <w:divBdr>
                <w:top w:val="none" w:sz="0" w:space="0" w:color="auto"/>
                <w:left w:val="none" w:sz="0" w:space="0" w:color="auto"/>
                <w:bottom w:val="none" w:sz="0" w:space="0" w:color="auto"/>
                <w:right w:val="none" w:sz="0" w:space="0" w:color="auto"/>
              </w:divBdr>
              <w:divsChild>
                <w:div w:id="2107386416">
                  <w:marLeft w:val="0"/>
                  <w:marRight w:val="0"/>
                  <w:marTop w:val="0"/>
                  <w:marBottom w:val="0"/>
                  <w:divBdr>
                    <w:top w:val="none" w:sz="0" w:space="0" w:color="auto"/>
                    <w:left w:val="none" w:sz="0" w:space="0" w:color="auto"/>
                    <w:bottom w:val="none" w:sz="0" w:space="0" w:color="auto"/>
                    <w:right w:val="none" w:sz="0" w:space="0" w:color="auto"/>
                  </w:divBdr>
                </w:div>
                <w:div w:id="2107386421">
                  <w:marLeft w:val="0"/>
                  <w:marRight w:val="0"/>
                  <w:marTop w:val="0"/>
                  <w:marBottom w:val="0"/>
                  <w:divBdr>
                    <w:top w:val="none" w:sz="0" w:space="0" w:color="auto"/>
                    <w:left w:val="none" w:sz="0" w:space="0" w:color="auto"/>
                    <w:bottom w:val="none" w:sz="0" w:space="0" w:color="auto"/>
                    <w:right w:val="none" w:sz="0" w:space="0" w:color="auto"/>
                  </w:divBdr>
                  <w:divsChild>
                    <w:div w:id="2107386466">
                      <w:marLeft w:val="0"/>
                      <w:marRight w:val="0"/>
                      <w:marTop w:val="0"/>
                      <w:marBottom w:val="0"/>
                      <w:divBdr>
                        <w:top w:val="none" w:sz="0" w:space="0" w:color="auto"/>
                        <w:left w:val="none" w:sz="0" w:space="0" w:color="auto"/>
                        <w:bottom w:val="none" w:sz="0" w:space="0" w:color="auto"/>
                        <w:right w:val="none" w:sz="0" w:space="0" w:color="auto"/>
                      </w:divBdr>
                    </w:div>
                  </w:divsChild>
                </w:div>
                <w:div w:id="21073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6457">
          <w:marLeft w:val="0"/>
          <w:marRight w:val="0"/>
          <w:marTop w:val="0"/>
          <w:marBottom w:val="0"/>
          <w:divBdr>
            <w:top w:val="none" w:sz="0" w:space="0" w:color="auto"/>
            <w:left w:val="none" w:sz="0" w:space="0" w:color="auto"/>
            <w:bottom w:val="none" w:sz="0" w:space="0" w:color="auto"/>
            <w:right w:val="none" w:sz="0" w:space="0" w:color="auto"/>
          </w:divBdr>
          <w:divsChild>
            <w:div w:id="2107386448">
              <w:marLeft w:val="0"/>
              <w:marRight w:val="0"/>
              <w:marTop w:val="0"/>
              <w:marBottom w:val="0"/>
              <w:divBdr>
                <w:top w:val="none" w:sz="0" w:space="0" w:color="auto"/>
                <w:left w:val="none" w:sz="0" w:space="0" w:color="auto"/>
                <w:bottom w:val="none" w:sz="0" w:space="0" w:color="auto"/>
                <w:right w:val="none" w:sz="0" w:space="0" w:color="auto"/>
              </w:divBdr>
              <w:divsChild>
                <w:div w:id="21073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6463">
          <w:marLeft w:val="0"/>
          <w:marRight w:val="0"/>
          <w:marTop w:val="0"/>
          <w:marBottom w:val="0"/>
          <w:divBdr>
            <w:top w:val="none" w:sz="0" w:space="0" w:color="auto"/>
            <w:left w:val="none" w:sz="0" w:space="0" w:color="auto"/>
            <w:bottom w:val="none" w:sz="0" w:space="0" w:color="auto"/>
            <w:right w:val="none" w:sz="0" w:space="0" w:color="auto"/>
          </w:divBdr>
        </w:div>
      </w:divsChild>
    </w:div>
    <w:div w:id="2107386454">
      <w:marLeft w:val="0"/>
      <w:marRight w:val="0"/>
      <w:marTop w:val="0"/>
      <w:marBottom w:val="0"/>
      <w:divBdr>
        <w:top w:val="none" w:sz="0" w:space="0" w:color="auto"/>
        <w:left w:val="none" w:sz="0" w:space="0" w:color="auto"/>
        <w:bottom w:val="none" w:sz="0" w:space="0" w:color="auto"/>
        <w:right w:val="none" w:sz="0" w:space="0" w:color="auto"/>
      </w:divBdr>
      <w:divsChild>
        <w:div w:id="2107386408">
          <w:marLeft w:val="0"/>
          <w:marRight w:val="0"/>
          <w:marTop w:val="0"/>
          <w:marBottom w:val="0"/>
          <w:divBdr>
            <w:top w:val="none" w:sz="0" w:space="0" w:color="auto"/>
            <w:left w:val="none" w:sz="0" w:space="0" w:color="auto"/>
            <w:bottom w:val="none" w:sz="0" w:space="0" w:color="auto"/>
            <w:right w:val="none" w:sz="0" w:space="0" w:color="auto"/>
          </w:divBdr>
          <w:divsChild>
            <w:div w:id="2107386424">
              <w:marLeft w:val="0"/>
              <w:marRight w:val="0"/>
              <w:marTop w:val="0"/>
              <w:marBottom w:val="0"/>
              <w:divBdr>
                <w:top w:val="none" w:sz="0" w:space="0" w:color="auto"/>
                <w:left w:val="none" w:sz="0" w:space="0" w:color="auto"/>
                <w:bottom w:val="none" w:sz="0" w:space="0" w:color="auto"/>
                <w:right w:val="none" w:sz="0" w:space="0" w:color="auto"/>
              </w:divBdr>
              <w:divsChild>
                <w:div w:id="2107386427">
                  <w:marLeft w:val="0"/>
                  <w:marRight w:val="0"/>
                  <w:marTop w:val="0"/>
                  <w:marBottom w:val="0"/>
                  <w:divBdr>
                    <w:top w:val="none" w:sz="0" w:space="0" w:color="auto"/>
                    <w:left w:val="none" w:sz="0" w:space="0" w:color="auto"/>
                    <w:bottom w:val="none" w:sz="0" w:space="0" w:color="auto"/>
                    <w:right w:val="none" w:sz="0" w:space="0" w:color="auto"/>
                  </w:divBdr>
                </w:div>
                <w:div w:id="2107386428">
                  <w:marLeft w:val="0"/>
                  <w:marRight w:val="0"/>
                  <w:marTop w:val="0"/>
                  <w:marBottom w:val="0"/>
                  <w:divBdr>
                    <w:top w:val="none" w:sz="0" w:space="0" w:color="auto"/>
                    <w:left w:val="none" w:sz="0" w:space="0" w:color="auto"/>
                    <w:bottom w:val="none" w:sz="0" w:space="0" w:color="auto"/>
                    <w:right w:val="none" w:sz="0" w:space="0" w:color="auto"/>
                  </w:divBdr>
                  <w:divsChild>
                    <w:div w:id="2107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6441">
              <w:marLeft w:val="0"/>
              <w:marRight w:val="0"/>
              <w:marTop w:val="0"/>
              <w:marBottom w:val="0"/>
              <w:divBdr>
                <w:top w:val="none" w:sz="0" w:space="0" w:color="auto"/>
                <w:left w:val="none" w:sz="0" w:space="0" w:color="auto"/>
                <w:bottom w:val="none" w:sz="0" w:space="0" w:color="auto"/>
                <w:right w:val="none" w:sz="0" w:space="0" w:color="auto"/>
              </w:divBdr>
              <w:divsChild>
                <w:div w:id="2107386445">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2107386417">
          <w:marLeft w:val="0"/>
          <w:marRight w:val="0"/>
          <w:marTop w:val="0"/>
          <w:marBottom w:val="0"/>
          <w:divBdr>
            <w:top w:val="none" w:sz="0" w:space="0" w:color="auto"/>
            <w:left w:val="none" w:sz="0" w:space="0" w:color="auto"/>
            <w:bottom w:val="none" w:sz="0" w:space="0" w:color="auto"/>
            <w:right w:val="none" w:sz="0" w:space="0" w:color="auto"/>
          </w:divBdr>
        </w:div>
        <w:div w:id="2107386456">
          <w:marLeft w:val="0"/>
          <w:marRight w:val="0"/>
          <w:marTop w:val="0"/>
          <w:marBottom w:val="0"/>
          <w:divBdr>
            <w:top w:val="none" w:sz="0" w:space="0" w:color="auto"/>
            <w:left w:val="none" w:sz="0" w:space="0" w:color="auto"/>
            <w:bottom w:val="none" w:sz="0" w:space="0" w:color="auto"/>
            <w:right w:val="none" w:sz="0" w:space="0" w:color="auto"/>
          </w:divBdr>
          <w:divsChild>
            <w:div w:id="2107386450">
              <w:marLeft w:val="0"/>
              <w:marRight w:val="0"/>
              <w:marTop w:val="0"/>
              <w:marBottom w:val="0"/>
              <w:divBdr>
                <w:top w:val="none" w:sz="0" w:space="0" w:color="auto"/>
                <w:left w:val="none" w:sz="0" w:space="0" w:color="auto"/>
                <w:bottom w:val="none" w:sz="0" w:space="0" w:color="auto"/>
                <w:right w:val="none" w:sz="0" w:space="0" w:color="auto"/>
              </w:divBdr>
              <w:divsChild>
                <w:div w:id="21073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6462">
      <w:marLeft w:val="0"/>
      <w:marRight w:val="0"/>
      <w:marTop w:val="0"/>
      <w:marBottom w:val="0"/>
      <w:divBdr>
        <w:top w:val="none" w:sz="0" w:space="0" w:color="auto"/>
        <w:left w:val="none" w:sz="0" w:space="0" w:color="auto"/>
        <w:bottom w:val="none" w:sz="0" w:space="0" w:color="auto"/>
        <w:right w:val="none" w:sz="0" w:space="0" w:color="auto"/>
      </w:divBdr>
      <w:divsChild>
        <w:div w:id="2107386414">
          <w:marLeft w:val="0"/>
          <w:marRight w:val="0"/>
          <w:marTop w:val="0"/>
          <w:marBottom w:val="0"/>
          <w:divBdr>
            <w:top w:val="none" w:sz="0" w:space="0" w:color="auto"/>
            <w:left w:val="none" w:sz="0" w:space="0" w:color="auto"/>
            <w:bottom w:val="none" w:sz="0" w:space="0" w:color="auto"/>
            <w:right w:val="none" w:sz="0" w:space="0" w:color="auto"/>
          </w:divBdr>
        </w:div>
        <w:div w:id="2107386437">
          <w:marLeft w:val="0"/>
          <w:marRight w:val="0"/>
          <w:marTop w:val="0"/>
          <w:marBottom w:val="0"/>
          <w:divBdr>
            <w:top w:val="none" w:sz="0" w:space="0" w:color="auto"/>
            <w:left w:val="none" w:sz="0" w:space="0" w:color="auto"/>
            <w:bottom w:val="none" w:sz="0" w:space="0" w:color="auto"/>
            <w:right w:val="none" w:sz="0" w:space="0" w:color="auto"/>
          </w:divBdr>
          <w:divsChild>
            <w:div w:id="2107386407">
              <w:marLeft w:val="0"/>
              <w:marRight w:val="0"/>
              <w:marTop w:val="0"/>
              <w:marBottom w:val="0"/>
              <w:divBdr>
                <w:top w:val="none" w:sz="0" w:space="0" w:color="auto"/>
                <w:left w:val="none" w:sz="0" w:space="0" w:color="auto"/>
                <w:bottom w:val="none" w:sz="0" w:space="0" w:color="auto"/>
                <w:right w:val="none" w:sz="0" w:space="0" w:color="auto"/>
              </w:divBdr>
              <w:divsChild>
                <w:div w:id="21073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6442">
          <w:marLeft w:val="0"/>
          <w:marRight w:val="0"/>
          <w:marTop w:val="0"/>
          <w:marBottom w:val="0"/>
          <w:divBdr>
            <w:top w:val="none" w:sz="0" w:space="0" w:color="auto"/>
            <w:left w:val="none" w:sz="0" w:space="0" w:color="auto"/>
            <w:bottom w:val="none" w:sz="0" w:space="0" w:color="auto"/>
            <w:right w:val="none" w:sz="0" w:space="0" w:color="auto"/>
          </w:divBdr>
          <w:divsChild>
            <w:div w:id="2107386431">
              <w:marLeft w:val="0"/>
              <w:marRight w:val="0"/>
              <w:marTop w:val="0"/>
              <w:marBottom w:val="0"/>
              <w:divBdr>
                <w:top w:val="none" w:sz="0" w:space="0" w:color="auto"/>
                <w:left w:val="none" w:sz="0" w:space="0" w:color="auto"/>
                <w:bottom w:val="none" w:sz="0" w:space="0" w:color="auto"/>
                <w:right w:val="none" w:sz="0" w:space="0" w:color="auto"/>
              </w:divBdr>
              <w:divsChild>
                <w:div w:id="2107386435">
                  <w:marLeft w:val="-300"/>
                  <w:marRight w:val="0"/>
                  <w:marTop w:val="60"/>
                  <w:marBottom w:val="0"/>
                  <w:divBdr>
                    <w:top w:val="none" w:sz="0" w:space="0" w:color="auto"/>
                    <w:left w:val="none" w:sz="0" w:space="0" w:color="auto"/>
                    <w:bottom w:val="none" w:sz="0" w:space="0" w:color="auto"/>
                    <w:right w:val="none" w:sz="0" w:space="0" w:color="auto"/>
                  </w:divBdr>
                </w:div>
              </w:divsChild>
            </w:div>
            <w:div w:id="2107386453">
              <w:marLeft w:val="0"/>
              <w:marRight w:val="0"/>
              <w:marTop w:val="0"/>
              <w:marBottom w:val="0"/>
              <w:divBdr>
                <w:top w:val="none" w:sz="0" w:space="0" w:color="auto"/>
                <w:left w:val="none" w:sz="0" w:space="0" w:color="auto"/>
                <w:bottom w:val="none" w:sz="0" w:space="0" w:color="auto"/>
                <w:right w:val="none" w:sz="0" w:space="0" w:color="auto"/>
              </w:divBdr>
              <w:divsChild>
                <w:div w:id="2107386419">
                  <w:marLeft w:val="0"/>
                  <w:marRight w:val="0"/>
                  <w:marTop w:val="0"/>
                  <w:marBottom w:val="0"/>
                  <w:divBdr>
                    <w:top w:val="none" w:sz="0" w:space="0" w:color="auto"/>
                    <w:left w:val="none" w:sz="0" w:space="0" w:color="auto"/>
                    <w:bottom w:val="none" w:sz="0" w:space="0" w:color="auto"/>
                    <w:right w:val="none" w:sz="0" w:space="0" w:color="auto"/>
                  </w:divBdr>
                </w:div>
                <w:div w:id="2107386426">
                  <w:marLeft w:val="0"/>
                  <w:marRight w:val="0"/>
                  <w:marTop w:val="0"/>
                  <w:marBottom w:val="0"/>
                  <w:divBdr>
                    <w:top w:val="none" w:sz="0" w:space="0" w:color="auto"/>
                    <w:left w:val="none" w:sz="0" w:space="0" w:color="auto"/>
                    <w:bottom w:val="none" w:sz="0" w:space="0" w:color="auto"/>
                    <w:right w:val="none" w:sz="0" w:space="0" w:color="auto"/>
                  </w:divBdr>
                  <w:divsChild>
                    <w:div w:id="2107386429">
                      <w:marLeft w:val="0"/>
                      <w:marRight w:val="0"/>
                      <w:marTop w:val="0"/>
                      <w:marBottom w:val="0"/>
                      <w:divBdr>
                        <w:top w:val="none" w:sz="0" w:space="0" w:color="auto"/>
                        <w:left w:val="none" w:sz="0" w:space="0" w:color="auto"/>
                        <w:bottom w:val="none" w:sz="0" w:space="0" w:color="auto"/>
                        <w:right w:val="none" w:sz="0" w:space="0" w:color="auto"/>
                      </w:divBdr>
                    </w:div>
                  </w:divsChild>
                </w:div>
                <w:div w:id="2107386436">
                  <w:marLeft w:val="0"/>
                  <w:marRight w:val="0"/>
                  <w:marTop w:val="0"/>
                  <w:marBottom w:val="0"/>
                  <w:divBdr>
                    <w:top w:val="none" w:sz="0" w:space="0" w:color="auto"/>
                    <w:left w:val="none" w:sz="0" w:space="0" w:color="auto"/>
                    <w:bottom w:val="none" w:sz="0" w:space="0" w:color="auto"/>
                    <w:right w:val="none" w:sz="0" w:space="0" w:color="auto"/>
                  </w:divBdr>
                  <w:divsChild>
                    <w:div w:id="2107386406">
                      <w:marLeft w:val="0"/>
                      <w:marRight w:val="0"/>
                      <w:marTop w:val="0"/>
                      <w:marBottom w:val="0"/>
                      <w:divBdr>
                        <w:top w:val="none" w:sz="0" w:space="0" w:color="auto"/>
                        <w:left w:val="none" w:sz="0" w:space="0" w:color="auto"/>
                        <w:bottom w:val="none" w:sz="0" w:space="0" w:color="auto"/>
                        <w:right w:val="none" w:sz="0" w:space="0" w:color="auto"/>
                      </w:divBdr>
                    </w:div>
                  </w:divsChild>
                </w:div>
                <w:div w:id="21073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86465">
      <w:marLeft w:val="0"/>
      <w:marRight w:val="0"/>
      <w:marTop w:val="0"/>
      <w:marBottom w:val="0"/>
      <w:divBdr>
        <w:top w:val="none" w:sz="0" w:space="0" w:color="auto"/>
        <w:left w:val="none" w:sz="0" w:space="0" w:color="auto"/>
        <w:bottom w:val="none" w:sz="0" w:space="0" w:color="auto"/>
        <w:right w:val="none" w:sz="0" w:space="0" w:color="auto"/>
      </w:divBdr>
      <w:divsChild>
        <w:div w:id="2107386430">
          <w:marLeft w:val="0"/>
          <w:marRight w:val="0"/>
          <w:marTop w:val="0"/>
          <w:marBottom w:val="0"/>
          <w:divBdr>
            <w:top w:val="none" w:sz="0" w:space="0" w:color="auto"/>
            <w:left w:val="none" w:sz="0" w:space="0" w:color="auto"/>
            <w:bottom w:val="none" w:sz="0" w:space="0" w:color="auto"/>
            <w:right w:val="none" w:sz="0" w:space="0" w:color="auto"/>
          </w:divBdr>
          <w:divsChild>
            <w:div w:id="2107386425">
              <w:marLeft w:val="0"/>
              <w:marRight w:val="0"/>
              <w:marTop w:val="0"/>
              <w:marBottom w:val="0"/>
              <w:divBdr>
                <w:top w:val="none" w:sz="0" w:space="0" w:color="auto"/>
                <w:left w:val="none" w:sz="0" w:space="0" w:color="auto"/>
                <w:bottom w:val="none" w:sz="0" w:space="0" w:color="auto"/>
                <w:right w:val="none" w:sz="0" w:space="0" w:color="auto"/>
              </w:divBdr>
              <w:divsChild>
                <w:div w:id="2107386412">
                  <w:marLeft w:val="0"/>
                  <w:marRight w:val="0"/>
                  <w:marTop w:val="0"/>
                  <w:marBottom w:val="0"/>
                  <w:divBdr>
                    <w:top w:val="none" w:sz="0" w:space="0" w:color="auto"/>
                    <w:left w:val="none" w:sz="0" w:space="0" w:color="auto"/>
                    <w:bottom w:val="none" w:sz="0" w:space="0" w:color="auto"/>
                    <w:right w:val="none" w:sz="0" w:space="0" w:color="auto"/>
                  </w:divBdr>
                </w:div>
                <w:div w:id="2107386415">
                  <w:marLeft w:val="0"/>
                  <w:marRight w:val="0"/>
                  <w:marTop w:val="0"/>
                  <w:marBottom w:val="0"/>
                  <w:divBdr>
                    <w:top w:val="none" w:sz="0" w:space="0" w:color="auto"/>
                    <w:left w:val="none" w:sz="0" w:space="0" w:color="auto"/>
                    <w:bottom w:val="none" w:sz="0" w:space="0" w:color="auto"/>
                    <w:right w:val="none" w:sz="0" w:space="0" w:color="auto"/>
                  </w:divBdr>
                  <w:divsChild>
                    <w:div w:id="21073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6464">
              <w:marLeft w:val="0"/>
              <w:marRight w:val="0"/>
              <w:marTop w:val="0"/>
              <w:marBottom w:val="0"/>
              <w:divBdr>
                <w:top w:val="none" w:sz="0" w:space="0" w:color="auto"/>
                <w:left w:val="none" w:sz="0" w:space="0" w:color="auto"/>
                <w:bottom w:val="none" w:sz="0" w:space="0" w:color="auto"/>
                <w:right w:val="none" w:sz="0" w:space="0" w:color="auto"/>
              </w:divBdr>
              <w:divsChild>
                <w:div w:id="2107386460">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2107386432">
          <w:marLeft w:val="0"/>
          <w:marRight w:val="0"/>
          <w:marTop w:val="0"/>
          <w:marBottom w:val="0"/>
          <w:divBdr>
            <w:top w:val="none" w:sz="0" w:space="0" w:color="auto"/>
            <w:left w:val="none" w:sz="0" w:space="0" w:color="auto"/>
            <w:bottom w:val="none" w:sz="0" w:space="0" w:color="auto"/>
            <w:right w:val="none" w:sz="0" w:space="0" w:color="auto"/>
          </w:divBdr>
          <w:divsChild>
            <w:div w:id="2107386458">
              <w:marLeft w:val="0"/>
              <w:marRight w:val="0"/>
              <w:marTop w:val="0"/>
              <w:marBottom w:val="0"/>
              <w:divBdr>
                <w:top w:val="none" w:sz="0" w:space="0" w:color="auto"/>
                <w:left w:val="none" w:sz="0" w:space="0" w:color="auto"/>
                <w:bottom w:val="none" w:sz="0" w:space="0" w:color="auto"/>
                <w:right w:val="none" w:sz="0" w:space="0" w:color="auto"/>
              </w:divBdr>
              <w:divsChild>
                <w:div w:id="21073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86455">
          <w:marLeft w:val="0"/>
          <w:marRight w:val="0"/>
          <w:marTop w:val="0"/>
          <w:marBottom w:val="0"/>
          <w:divBdr>
            <w:top w:val="none" w:sz="0" w:space="0" w:color="auto"/>
            <w:left w:val="none" w:sz="0" w:space="0" w:color="auto"/>
            <w:bottom w:val="none" w:sz="0" w:space="0" w:color="auto"/>
            <w:right w:val="none" w:sz="0" w:space="0" w:color="auto"/>
          </w:divBdr>
        </w:div>
      </w:divsChild>
    </w:div>
    <w:div w:id="2107386467">
      <w:marLeft w:val="0"/>
      <w:marRight w:val="0"/>
      <w:marTop w:val="0"/>
      <w:marBottom w:val="0"/>
      <w:divBdr>
        <w:top w:val="none" w:sz="0" w:space="0" w:color="auto"/>
        <w:left w:val="none" w:sz="0" w:space="0" w:color="auto"/>
        <w:bottom w:val="none" w:sz="0" w:space="0" w:color="auto"/>
        <w:right w:val="none" w:sz="0" w:space="0" w:color="auto"/>
      </w:divBdr>
    </w:div>
    <w:div w:id="2107386468">
      <w:marLeft w:val="0"/>
      <w:marRight w:val="0"/>
      <w:marTop w:val="0"/>
      <w:marBottom w:val="0"/>
      <w:divBdr>
        <w:top w:val="none" w:sz="0" w:space="0" w:color="auto"/>
        <w:left w:val="none" w:sz="0" w:space="0" w:color="auto"/>
        <w:bottom w:val="none" w:sz="0" w:space="0" w:color="auto"/>
        <w:right w:val="none" w:sz="0" w:space="0" w:color="auto"/>
      </w:divBdr>
    </w:div>
    <w:div w:id="21073864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is.de/r3/?docId=KARE600052943&amp;docFormat=xsl&amp;docPart=K" TargetMode="External"/><Relationship Id="rId13" Type="http://schemas.openxmlformats.org/officeDocument/2006/relationships/hyperlink" Target="https://www.juris.de/r3/?docId=BJNR001950896BJNE260101377&amp;docFormat=xsl&amp;docPar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uris.de/r3/?docId=KARE600052943&amp;docFormat=xsl&amp;docPart=K" TargetMode="External"/><Relationship Id="rId12" Type="http://schemas.openxmlformats.org/officeDocument/2006/relationships/hyperlink" Target="https://www.juris.de/r3/?docId=BJNR001950896BJNE015602377&amp;docFormat=xsl&amp;docPar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ustiz.nrw.de/nrwe/arbgs/hamm/lag_hamm/j2018/1_Sa_1476_17_Urteil_20180216.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ris.de/r3/?docId=BJNR124610996BJNE000701377&amp;docFormat=xsl&amp;docPart=S" TargetMode="External"/><Relationship Id="rId5" Type="http://schemas.openxmlformats.org/officeDocument/2006/relationships/footnotes" Target="footnotes.xml"/><Relationship Id="rId15" Type="http://schemas.openxmlformats.org/officeDocument/2006/relationships/hyperlink" Target="https://www.justiz.nrw.de/nrwe/arbgs/koeln/lag_koeln/j2018/4_Sa_290_17_Urteil_20180112.html" TargetMode="External"/><Relationship Id="rId10" Type="http://schemas.openxmlformats.org/officeDocument/2006/relationships/hyperlink" Target="https://www.juris.de/r3/?docId=BJNR117100994BJNE002502308&amp;docFormat=xsl&amp;docPar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uris.de/r3/?docId=KARE600052943&amp;docFormat=xsl&amp;docPart=K" TargetMode="External"/><Relationship Id="rId14" Type="http://schemas.openxmlformats.org/officeDocument/2006/relationships/hyperlink" Target="http://juris.bundesgerichtshof.de/cgi-bin/rechtsprechung/document.py?Gericht=bgh&amp;Art=en&amp;Datum=Aktuell&amp;Sort=12288&amp;nr=81528&amp;pos=4&amp;anz=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758C3A25.dotm</Template>
  <TotalTime>0</TotalTime>
  <Pages>3</Pages>
  <Words>1196</Words>
  <Characters>7540</Characters>
  <Application>Microsoft Office Word</Application>
  <DocSecurity>0</DocSecurity>
  <Lines>62</Lines>
  <Paragraphs>17</Paragraphs>
  <ScaleCrop>false</ScaleCrop>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2018-04-09T08:59:00Z</dcterms:created>
  <dcterms:modified xsi:type="dcterms:W3CDTF">2018-04-09T08:59:00Z</dcterms:modified>
</cp:coreProperties>
</file>