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702" w:rsidRPr="00BB3702" w:rsidRDefault="00BB3702" w:rsidP="00BB3702">
      <w:pPr>
        <w:tabs>
          <w:tab w:val="center" w:pos="4536"/>
          <w:tab w:val="right" w:pos="9072"/>
        </w:tabs>
        <w:spacing w:after="0" w:line="240" w:lineRule="auto"/>
        <w:jc w:val="right"/>
        <w:rPr>
          <w:rFonts w:ascii="Calibri" w:hAnsi="Calibri" w:cs="Calibri"/>
          <w:sz w:val="24"/>
          <w:szCs w:val="24"/>
          <w:lang w:val="en-US"/>
        </w:rPr>
      </w:pPr>
      <w:bookmarkStart w:id="0" w:name="_GoBack"/>
      <w:bookmarkEnd w:id="0"/>
      <w:r w:rsidRPr="00BB3702">
        <w:rPr>
          <w:rFonts w:cs="Arial"/>
          <w:b/>
          <w:bCs/>
          <w:sz w:val="40"/>
          <w:szCs w:val="40"/>
          <w:lang w:val="en-US"/>
        </w:rPr>
        <w:t>DASV</w:t>
      </w:r>
    </w:p>
    <w:p w:rsidR="00BB3702" w:rsidRPr="00BB3702" w:rsidRDefault="00BB3702" w:rsidP="00BB3702">
      <w:pPr>
        <w:spacing w:after="0" w:line="240" w:lineRule="auto"/>
        <w:jc w:val="right"/>
        <w:rPr>
          <w:rFonts w:cs="Arial"/>
          <w:sz w:val="20"/>
          <w:szCs w:val="20"/>
          <w:lang w:val="en-US"/>
        </w:rPr>
      </w:pPr>
      <w:bookmarkStart w:id="1" w:name="2"/>
      <w:bookmarkStart w:id="2" w:name="9"/>
      <w:bookmarkEnd w:id="1"/>
      <w:bookmarkEnd w:id="2"/>
      <w:r w:rsidRPr="00BB3702">
        <w:rPr>
          <w:rFonts w:cs="Arial"/>
          <w:sz w:val="20"/>
          <w:szCs w:val="20"/>
          <w:lang w:val="en-US"/>
        </w:rPr>
        <w:t>Deutsche Anwalts- und</w:t>
      </w:r>
    </w:p>
    <w:p w:rsidR="00BB3702" w:rsidRPr="00BB3702" w:rsidRDefault="00BB3702" w:rsidP="00BB3702">
      <w:pPr>
        <w:spacing w:after="0" w:line="240" w:lineRule="auto"/>
        <w:jc w:val="right"/>
        <w:rPr>
          <w:rFonts w:cs="Arial"/>
          <w:sz w:val="20"/>
          <w:szCs w:val="20"/>
          <w:lang w:val="en-US"/>
        </w:rPr>
      </w:pPr>
      <w:r w:rsidRPr="00BB3702">
        <w:rPr>
          <w:rFonts w:cs="Arial"/>
          <w:sz w:val="20"/>
          <w:szCs w:val="20"/>
          <w:lang w:val="en-US"/>
        </w:rPr>
        <w:t>Steuerberatervereinigung</w:t>
      </w:r>
    </w:p>
    <w:p w:rsidR="00BB3702" w:rsidRPr="00BB3702" w:rsidRDefault="00BB3702" w:rsidP="00BB3702">
      <w:pPr>
        <w:spacing w:after="0" w:line="240" w:lineRule="auto"/>
        <w:jc w:val="right"/>
        <w:rPr>
          <w:rFonts w:cs="Arial"/>
          <w:sz w:val="20"/>
          <w:szCs w:val="20"/>
          <w:lang w:val="en-US"/>
        </w:rPr>
      </w:pPr>
      <w:r w:rsidRPr="00BB3702">
        <w:rPr>
          <w:rFonts w:cs="Arial"/>
          <w:sz w:val="20"/>
          <w:szCs w:val="20"/>
          <w:lang w:val="en-US"/>
        </w:rPr>
        <w:t>für die mittelständische</w:t>
      </w:r>
    </w:p>
    <w:p w:rsidR="00BB3702" w:rsidRPr="00BB3702" w:rsidRDefault="00BB3702" w:rsidP="00BB3702">
      <w:pPr>
        <w:spacing w:after="0" w:line="240" w:lineRule="auto"/>
        <w:jc w:val="right"/>
        <w:rPr>
          <w:rFonts w:cs="Arial"/>
          <w:sz w:val="20"/>
          <w:szCs w:val="20"/>
          <w:lang w:val="en-US"/>
        </w:rPr>
      </w:pPr>
      <w:r w:rsidRPr="00BB3702">
        <w:rPr>
          <w:rFonts w:cs="Arial"/>
          <w:sz w:val="20"/>
          <w:szCs w:val="20"/>
          <w:lang w:val="en-US"/>
        </w:rPr>
        <w:t>Wirtschaft e. V.</w:t>
      </w:r>
    </w:p>
    <w:p w:rsidR="00BB3702" w:rsidRDefault="00BB3702" w:rsidP="00BB3702">
      <w:pPr>
        <w:spacing w:after="0" w:line="360" w:lineRule="auto"/>
        <w:jc w:val="both"/>
        <w:outlineLvl w:val="0"/>
        <w:rPr>
          <w:rFonts w:cs="Arial"/>
          <w:b/>
          <w:bCs/>
          <w:kern w:val="36"/>
          <w:lang w:eastAsia="de-DE"/>
        </w:rPr>
      </w:pPr>
    </w:p>
    <w:p w:rsidR="00503363" w:rsidRDefault="00503363" w:rsidP="00BB3702">
      <w:pPr>
        <w:spacing w:after="0" w:line="360" w:lineRule="auto"/>
        <w:jc w:val="both"/>
        <w:outlineLvl w:val="0"/>
        <w:rPr>
          <w:rFonts w:cs="Arial"/>
          <w:b/>
          <w:bCs/>
          <w:kern w:val="36"/>
          <w:lang w:eastAsia="de-DE"/>
        </w:rPr>
      </w:pPr>
      <w:r w:rsidRPr="00BB3702">
        <w:rPr>
          <w:rFonts w:cs="Arial"/>
          <w:b/>
          <w:bCs/>
          <w:kern w:val="36"/>
          <w:lang w:eastAsia="de-DE"/>
        </w:rPr>
        <w:t>Bundesarbeitsgericht zur Nichtigkeit eines nachvertraglichen Wettbewerbsverbots</w:t>
      </w:r>
    </w:p>
    <w:p w:rsidR="00BB3702" w:rsidRDefault="00BB3702" w:rsidP="00BB3702">
      <w:pPr>
        <w:spacing w:after="0" w:line="360" w:lineRule="auto"/>
        <w:jc w:val="both"/>
        <w:outlineLvl w:val="0"/>
        <w:rPr>
          <w:rFonts w:cs="Arial"/>
          <w:bCs/>
          <w:kern w:val="36"/>
          <w:lang w:eastAsia="de-DE"/>
        </w:rPr>
      </w:pPr>
    </w:p>
    <w:p w:rsidR="00BB3702" w:rsidRPr="00104831" w:rsidRDefault="00BB3702" w:rsidP="00BB3702">
      <w:pPr>
        <w:spacing w:after="0" w:line="360" w:lineRule="auto"/>
        <w:jc w:val="both"/>
        <w:outlineLvl w:val="0"/>
        <w:rPr>
          <w:rFonts w:cs="Arial"/>
          <w:bCs/>
          <w:kern w:val="36"/>
          <w:lang w:eastAsia="de-DE"/>
        </w:rPr>
      </w:pPr>
      <w:r w:rsidRPr="00104831">
        <w:rPr>
          <w:rFonts w:cs="Arial"/>
          <w:bCs/>
          <w:kern w:val="36"/>
          <w:lang w:eastAsia="de-DE"/>
        </w:rPr>
        <w:t>ein Artikel von Rechtsanwalt, Fachanwalt für Steuerrecht und Fachanwalt für Handels- und Gesellschaftsrecht Arnd Lackner</w:t>
      </w:r>
      <w:r>
        <w:rPr>
          <w:rFonts w:cs="Arial"/>
          <w:bCs/>
          <w:kern w:val="36"/>
          <w:lang w:eastAsia="de-DE"/>
        </w:rPr>
        <w:t xml:space="preserve"> und Elina Müller</w:t>
      </w:r>
      <w:r w:rsidRPr="00104831">
        <w:rPr>
          <w:rFonts w:cs="Arial"/>
          <w:bCs/>
          <w:kern w:val="36"/>
          <w:lang w:eastAsia="de-DE"/>
        </w:rPr>
        <w:t>, Saarbrücken</w:t>
      </w:r>
    </w:p>
    <w:p w:rsidR="00BB3702" w:rsidRPr="00BB3702" w:rsidRDefault="00BB3702" w:rsidP="00BB3702">
      <w:pPr>
        <w:spacing w:after="0" w:line="360" w:lineRule="auto"/>
        <w:jc w:val="both"/>
        <w:outlineLvl w:val="0"/>
        <w:rPr>
          <w:rFonts w:cs="Arial"/>
          <w:bCs/>
          <w:kern w:val="36"/>
          <w:lang w:eastAsia="de-DE"/>
        </w:rPr>
      </w:pPr>
    </w:p>
    <w:p w:rsidR="00503363" w:rsidRDefault="00503363" w:rsidP="00BB3702">
      <w:pPr>
        <w:spacing w:after="0" w:line="360" w:lineRule="auto"/>
        <w:jc w:val="both"/>
        <w:outlineLvl w:val="1"/>
        <w:rPr>
          <w:rFonts w:cs="Arial"/>
          <w:b/>
          <w:bCs/>
          <w:lang w:eastAsia="de-DE"/>
        </w:rPr>
      </w:pPr>
      <w:r w:rsidRPr="00BB3702">
        <w:rPr>
          <w:rFonts w:cs="Arial"/>
          <w:b/>
          <w:bCs/>
          <w:lang w:eastAsia="de-DE"/>
        </w:rPr>
        <w:t xml:space="preserve">Das Bundesarbeitsgericht hat mit Urteil vom 22. März 2017, Az.: </w:t>
      </w:r>
      <w:hyperlink r:id="rId6" w:tgtFrame="_blank" w:tooltip="BAG, 22.03.2017 - 10 AZR 448/15: Wettbewerbsverbot - fehlende Karenzentschädigung - salvatorisc..." w:history="1">
        <w:r w:rsidRPr="00BB3702">
          <w:rPr>
            <w:rFonts w:cs="Arial"/>
            <w:b/>
            <w:bCs/>
            <w:lang w:eastAsia="de-DE"/>
          </w:rPr>
          <w:t>10 AZR 448/15</w:t>
        </w:r>
      </w:hyperlink>
      <w:r w:rsidRPr="00BB3702">
        <w:rPr>
          <w:rFonts w:cs="Arial"/>
          <w:b/>
          <w:bCs/>
          <w:lang w:eastAsia="de-DE"/>
        </w:rPr>
        <w:t xml:space="preserve"> entschieden, dass ein nachvertragliches Wettbewerbsverbot, welches für einen Arbeitnehmer entgegen </w:t>
      </w:r>
      <w:hyperlink r:id="rId7" w:tgtFrame="_blank" w:tooltip="§ 110 GewO: Wettbewerbsverbot" w:history="1">
        <w:r w:rsidRPr="00BB3702">
          <w:rPr>
            <w:rFonts w:cs="Arial"/>
            <w:b/>
            <w:bCs/>
            <w:lang w:eastAsia="de-DE"/>
          </w:rPr>
          <w:t>§ 110 GewO</w:t>
        </w:r>
      </w:hyperlink>
      <w:r w:rsidRPr="00BB3702">
        <w:rPr>
          <w:rFonts w:cs="Arial"/>
          <w:b/>
          <w:bCs/>
          <w:lang w:eastAsia="de-DE"/>
        </w:rPr>
        <w:t xml:space="preserve"> i. V. m. </w:t>
      </w:r>
      <w:hyperlink r:id="rId8" w:tgtFrame="_blank" w:tooltip="§ 74 HGB" w:history="1">
        <w:r w:rsidRPr="00BB3702">
          <w:rPr>
            <w:rFonts w:cs="Arial"/>
            <w:b/>
            <w:bCs/>
            <w:lang w:eastAsia="de-DE"/>
          </w:rPr>
          <w:t>§ 74 Abs. 2 HGB</w:t>
        </w:r>
      </w:hyperlink>
      <w:r w:rsidRPr="00BB3702">
        <w:rPr>
          <w:rFonts w:cs="Arial"/>
          <w:b/>
          <w:bCs/>
          <w:lang w:eastAsia="de-DE"/>
        </w:rPr>
        <w:t xml:space="preserve"> keinen Anspruch auf eine Karenzentschädigung beinhaltet, unwirksam ist. Hiergegen hilft auch keine im Arbeitsvertrag enthaltene salvatorische Klausel.</w:t>
      </w:r>
    </w:p>
    <w:p w:rsidR="00BB3702" w:rsidRPr="00BB3702" w:rsidRDefault="00BB3702" w:rsidP="00BB3702">
      <w:pPr>
        <w:spacing w:after="0" w:line="360" w:lineRule="auto"/>
        <w:jc w:val="both"/>
        <w:outlineLvl w:val="1"/>
        <w:rPr>
          <w:rFonts w:cs="Arial"/>
          <w:b/>
          <w:bCs/>
          <w:lang w:eastAsia="de-DE"/>
        </w:rPr>
      </w:pPr>
    </w:p>
    <w:p w:rsidR="00BB3702" w:rsidRDefault="00503363" w:rsidP="00BB3702">
      <w:pPr>
        <w:spacing w:after="0" w:line="360" w:lineRule="auto"/>
        <w:jc w:val="both"/>
        <w:rPr>
          <w:rFonts w:cs="Arial"/>
          <w:lang w:eastAsia="de-DE"/>
        </w:rPr>
      </w:pPr>
      <w:r w:rsidRPr="00BB3702">
        <w:rPr>
          <w:rFonts w:cs="Arial"/>
          <w:lang w:eastAsia="de-DE"/>
        </w:rPr>
        <w:t>Der Entscheidung lag folgender Sachverhalt zugrunde:</w:t>
      </w:r>
    </w:p>
    <w:p w:rsidR="00BB3702" w:rsidRDefault="00503363" w:rsidP="00BB3702">
      <w:pPr>
        <w:spacing w:after="0" w:line="360" w:lineRule="auto"/>
        <w:jc w:val="both"/>
        <w:rPr>
          <w:rFonts w:cs="Arial"/>
          <w:lang w:eastAsia="de-DE"/>
        </w:rPr>
      </w:pPr>
      <w:r w:rsidRPr="00BB3702">
        <w:rPr>
          <w:rFonts w:cs="Arial"/>
          <w:lang w:eastAsia="de-DE"/>
        </w:rPr>
        <w:t>Die im Zeitraum von 2008 bis 2013 bei der Beklagten beschäftigten Klägerin wurde, nach ihrer ordentlichen Kündigung und aufgrund des im Arbeitsvertrag vereinbarten Wettbewerbsverbot, untersagt, innerhalb der nächsten zwei Jahre in irgendeiner Weise für ein Unternehmen tätig zu werden, welches mit der Beklagten in direktem oder indirektem Wettbewerb steht. Bei Zuwiderhandlung wurde eine Vertragsstrafe von 10.000 Euro vorgesehen, jedoch wurde keine Karenzentschädigung vereinbart.</w:t>
      </w:r>
    </w:p>
    <w:p w:rsidR="00BB3702" w:rsidRDefault="00BB3702" w:rsidP="00BB3702">
      <w:pPr>
        <w:spacing w:after="0" w:line="360" w:lineRule="auto"/>
        <w:jc w:val="both"/>
        <w:rPr>
          <w:rFonts w:cs="Arial"/>
          <w:lang w:eastAsia="de-DE"/>
        </w:rPr>
      </w:pPr>
    </w:p>
    <w:p w:rsidR="00BB3702" w:rsidRDefault="00503363" w:rsidP="00BB3702">
      <w:pPr>
        <w:spacing w:after="0" w:line="360" w:lineRule="auto"/>
        <w:jc w:val="both"/>
        <w:rPr>
          <w:rFonts w:cs="Arial"/>
          <w:lang w:eastAsia="de-DE"/>
        </w:rPr>
      </w:pPr>
      <w:r w:rsidRPr="00BB3702">
        <w:rPr>
          <w:rFonts w:cs="Arial"/>
          <w:lang w:eastAsia="de-DE"/>
        </w:rPr>
        <w:t>Weiterhin enthielt der Arbeitsvertrags eine sog. salvatorische Klausel, welche die Gültigkeit von Verträgen gewährleisten soll, auch wenn einzelne Vertragsbestandteile unwirksam sind. An Stelle der unwirksamen Regelung soll eine angemessene Regelung treffen, die dem Willen de</w:t>
      </w:r>
      <w:r w:rsidR="00BB3702">
        <w:rPr>
          <w:rFonts w:cs="Arial"/>
          <w:lang w:eastAsia="de-DE"/>
        </w:rPr>
        <w:t>r Parteien so entsprechen soll,</w:t>
      </w:r>
      <w:r w:rsidRPr="00BB3702">
        <w:rPr>
          <w:rFonts w:cs="Arial"/>
          <w:lang w:eastAsia="de-DE"/>
        </w:rPr>
        <w:t xml:space="preserve"> wie sie bei Kenntnis der Nichtigkeit entschieden hätten.</w:t>
      </w:r>
    </w:p>
    <w:p w:rsidR="00BB3702" w:rsidRDefault="00BB3702" w:rsidP="00BB3702">
      <w:pPr>
        <w:spacing w:after="0" w:line="360" w:lineRule="auto"/>
        <w:jc w:val="both"/>
        <w:rPr>
          <w:rFonts w:cs="Arial"/>
          <w:lang w:eastAsia="de-DE"/>
        </w:rPr>
      </w:pPr>
    </w:p>
    <w:p w:rsidR="00BB3702" w:rsidRDefault="00503363" w:rsidP="00BB3702">
      <w:pPr>
        <w:spacing w:after="0" w:line="360" w:lineRule="auto"/>
        <w:jc w:val="both"/>
        <w:rPr>
          <w:rFonts w:cs="Arial"/>
          <w:lang w:eastAsia="de-DE"/>
        </w:rPr>
      </w:pPr>
      <w:r w:rsidRPr="00BB3702">
        <w:rPr>
          <w:rFonts w:cs="Arial"/>
          <w:lang w:eastAsia="de-DE"/>
        </w:rPr>
        <w:t>Nach dem Bundesarbeitsgericht besteht Nichtigkeit bezüglich solcher Wettbewerbsverbote, die keine Karenzentschädigung vorsehen. Aufgrund einer solchen Vereinbarung kann der Arbeitgeber nicht die Unterlassung von Wettbewerb verlangen oder sich der Arbeitnehmer bei Einhaltung des Wettbewerbsverbotes auf einen Anspruch auf Karenzentschädigung berufen. Des Weiteren führt eine im Arbeitsvertrag enthaltene salvatorische Klausel nicht zur Heilung. Somit kann sich auch nicht der Arbeitnehmer – einseitig und zu seinen Gunsten – auf die Wirksamkeit des Wettbewerbsverbots berufen.</w:t>
      </w:r>
    </w:p>
    <w:p w:rsidR="00BB3702" w:rsidRDefault="00BB3702" w:rsidP="00BB3702">
      <w:pPr>
        <w:spacing w:after="0" w:line="360" w:lineRule="auto"/>
        <w:jc w:val="both"/>
        <w:rPr>
          <w:rFonts w:cs="Arial"/>
          <w:lang w:eastAsia="de-DE"/>
        </w:rPr>
      </w:pPr>
    </w:p>
    <w:p w:rsidR="00BB3702" w:rsidRDefault="00503363" w:rsidP="00BB3702">
      <w:pPr>
        <w:spacing w:after="0" w:line="360" w:lineRule="auto"/>
        <w:jc w:val="both"/>
        <w:rPr>
          <w:rFonts w:cs="Arial"/>
          <w:lang w:eastAsia="de-DE"/>
        </w:rPr>
      </w:pPr>
      <w:r w:rsidRPr="00BB3702">
        <w:rPr>
          <w:rFonts w:cs="Arial"/>
          <w:lang w:eastAsia="de-DE"/>
        </w:rPr>
        <w:lastRenderedPageBreak/>
        <w:t>Diese (Un-)Wirksamkeit des Wettbewerbsverbots muss sich außerdem aus der Vereinbarung selbst ergeben, damit eine unmittelbare Entscheidung ohne Verzögerung erfolgen kann. Eine salvatorische Klausel kann hier deshalb keine Abhilfe schaffen, da nach ihr wertend zu entscheiden ist, ob und mit welchem Inhalt die Vertragsparteien eine entsprechende Regelung bei Kenntnis der Nichtigkeit verfasst hätten.</w:t>
      </w:r>
    </w:p>
    <w:p w:rsidR="00BB3702" w:rsidRDefault="00BB3702" w:rsidP="00BB3702">
      <w:pPr>
        <w:spacing w:after="0" w:line="360" w:lineRule="auto"/>
        <w:jc w:val="both"/>
        <w:rPr>
          <w:rFonts w:cs="Arial"/>
          <w:lang w:eastAsia="de-DE"/>
        </w:rPr>
      </w:pPr>
    </w:p>
    <w:p w:rsidR="00BB3702" w:rsidRDefault="00503363" w:rsidP="00BB3702">
      <w:pPr>
        <w:spacing w:after="0" w:line="360" w:lineRule="auto"/>
        <w:jc w:val="both"/>
        <w:rPr>
          <w:rFonts w:cs="Arial"/>
          <w:b/>
          <w:bCs/>
          <w:lang w:eastAsia="de-DE"/>
        </w:rPr>
      </w:pPr>
      <w:r w:rsidRPr="00BB3702">
        <w:rPr>
          <w:rFonts w:cs="Arial"/>
          <w:b/>
          <w:bCs/>
          <w:lang w:eastAsia="de-DE"/>
        </w:rPr>
        <w:t xml:space="preserve">Fazit: </w:t>
      </w:r>
    </w:p>
    <w:p w:rsidR="00BB3702" w:rsidRDefault="00503363" w:rsidP="00BB3702">
      <w:pPr>
        <w:spacing w:after="0" w:line="360" w:lineRule="auto"/>
        <w:jc w:val="both"/>
        <w:rPr>
          <w:rFonts w:cs="Arial"/>
          <w:lang w:eastAsia="de-DE"/>
        </w:rPr>
      </w:pPr>
      <w:r w:rsidRPr="00BB3702">
        <w:rPr>
          <w:rFonts w:cs="Arial"/>
          <w:lang w:eastAsia="de-DE"/>
        </w:rPr>
        <w:t>Nachvertragliche Wettbewerbsverbote, die keine Karenzentschädigung vorsehen, sind uneingeschränkt nichtig. Aufgrund dieser Nichtigkeit bestehen weder für Arbeitgeber noch für Arbeitnehmer ausübbare Rechte. Eine Heilung mittels einer salvatorischen Klausel ist ausgeschlossen.</w:t>
      </w:r>
    </w:p>
    <w:p w:rsidR="00BB3702" w:rsidRDefault="00BB3702" w:rsidP="00BB3702">
      <w:pPr>
        <w:spacing w:after="0" w:line="360" w:lineRule="auto"/>
        <w:jc w:val="both"/>
        <w:rPr>
          <w:rFonts w:cs="Arial"/>
          <w:lang w:eastAsia="de-DE"/>
        </w:rPr>
      </w:pPr>
    </w:p>
    <w:p w:rsidR="00BB3702" w:rsidRPr="00BB3702" w:rsidRDefault="00503363" w:rsidP="00BB3702">
      <w:pPr>
        <w:spacing w:after="0" w:line="360" w:lineRule="auto"/>
        <w:jc w:val="both"/>
        <w:rPr>
          <w:rFonts w:cs="Arial"/>
          <w:lang w:eastAsia="de-DE"/>
        </w:rPr>
      </w:pPr>
      <w:r w:rsidRPr="00BB3702">
        <w:rPr>
          <w:rFonts w:cs="Arial"/>
          <w:lang w:eastAsia="de-DE"/>
        </w:rPr>
        <w:t xml:space="preserve">Falls Sie Fragen zu dem Artikel oder zu einer speziellen arbeitsvertraglichen Regelung haben, können Sie uns gerne </w:t>
      </w:r>
      <w:hyperlink r:id="rId9" w:tgtFrame="_self" w:tooltip="Öffnet einen internen Link im aktuellen Fenster" w:history="1">
        <w:r w:rsidRPr="00BB3702">
          <w:rPr>
            <w:rFonts w:cs="Arial"/>
            <w:lang w:eastAsia="de-DE"/>
          </w:rPr>
          <w:t>kontaktieren</w:t>
        </w:r>
      </w:hyperlink>
      <w:r w:rsidRPr="00BB3702">
        <w:rPr>
          <w:rFonts w:cs="Arial"/>
          <w:lang w:eastAsia="de-DE"/>
        </w:rPr>
        <w:t>.</w:t>
      </w:r>
      <w:r w:rsidR="00BB3702" w:rsidRPr="00BB3702">
        <w:rPr>
          <w:rFonts w:cs="Arial"/>
          <w:lang w:eastAsia="de-DE"/>
        </w:rPr>
        <w:t xml:space="preserve"> </w:t>
      </w:r>
      <w:r w:rsidRPr="00BB3702">
        <w:rPr>
          <w:rFonts w:cs="Arial"/>
          <w:lang w:eastAsia="de-DE"/>
        </w:rPr>
        <w:t>Wir helfen Ihnen schnell und kompetent.</w:t>
      </w:r>
    </w:p>
    <w:p w:rsidR="00BB3702" w:rsidRDefault="00BB3702" w:rsidP="00BB3702">
      <w:pPr>
        <w:spacing w:after="0" w:line="240" w:lineRule="auto"/>
        <w:jc w:val="both"/>
        <w:rPr>
          <w:rFonts w:cs="Arial"/>
          <w:sz w:val="20"/>
          <w:szCs w:val="20"/>
        </w:rPr>
      </w:pPr>
    </w:p>
    <w:p w:rsidR="00BB3702" w:rsidRPr="00CF6856" w:rsidRDefault="00BB3702" w:rsidP="00BB3702">
      <w:pPr>
        <w:spacing w:after="0" w:line="240" w:lineRule="auto"/>
        <w:jc w:val="both"/>
        <w:rPr>
          <w:rFonts w:cs="Arial"/>
          <w:sz w:val="20"/>
          <w:szCs w:val="20"/>
        </w:rPr>
      </w:pPr>
      <w:r w:rsidRPr="00CF6856">
        <w:rPr>
          <w:rFonts w:cs="Arial"/>
          <w:sz w:val="20"/>
          <w:szCs w:val="20"/>
        </w:rPr>
        <w:t>Der Autor ist Mitglied der Deutschen Anwalts- und Steuerberatervereinigung für die mittelständische Wirtschaft e.V.</w:t>
      </w:r>
    </w:p>
    <w:p w:rsidR="00BB3702" w:rsidRPr="00CF6856" w:rsidRDefault="00BB3702" w:rsidP="00BB3702">
      <w:pPr>
        <w:tabs>
          <w:tab w:val="left" w:pos="3285"/>
        </w:tabs>
        <w:spacing w:after="0" w:line="240" w:lineRule="auto"/>
        <w:jc w:val="both"/>
        <w:rPr>
          <w:rFonts w:cs="Arial"/>
          <w:sz w:val="20"/>
          <w:szCs w:val="20"/>
        </w:rPr>
      </w:pPr>
      <w:r>
        <w:rPr>
          <w:rFonts w:cs="Arial"/>
          <w:sz w:val="20"/>
          <w:szCs w:val="20"/>
        </w:rPr>
        <w:tab/>
      </w:r>
    </w:p>
    <w:p w:rsidR="00BB3702" w:rsidRPr="00CF6856" w:rsidRDefault="00BB3702" w:rsidP="00BB3702">
      <w:pPr>
        <w:spacing w:after="0" w:line="240" w:lineRule="auto"/>
        <w:jc w:val="both"/>
        <w:rPr>
          <w:rFonts w:cs="Arial"/>
          <w:sz w:val="20"/>
          <w:szCs w:val="20"/>
        </w:rPr>
      </w:pPr>
    </w:p>
    <w:p w:rsidR="00BB3702" w:rsidRPr="00CF6856" w:rsidRDefault="00BB3702" w:rsidP="00BB3702">
      <w:pPr>
        <w:spacing w:after="0" w:line="240" w:lineRule="auto"/>
        <w:jc w:val="both"/>
        <w:rPr>
          <w:rFonts w:cs="Arial"/>
          <w:sz w:val="20"/>
          <w:szCs w:val="20"/>
        </w:rPr>
      </w:pPr>
      <w:r w:rsidRPr="00CF6856">
        <w:rPr>
          <w:rFonts w:cs="Arial"/>
          <w:sz w:val="20"/>
          <w:szCs w:val="20"/>
        </w:rPr>
        <w:t>Für Rückfragen steht Ihnen der Autor gerne zur Verfügung</w:t>
      </w:r>
    </w:p>
    <w:p w:rsidR="00BB3702" w:rsidRPr="00CF6856" w:rsidRDefault="00BB3702" w:rsidP="00BB3702">
      <w:pPr>
        <w:spacing w:after="0" w:line="240" w:lineRule="auto"/>
        <w:jc w:val="both"/>
        <w:rPr>
          <w:rFonts w:cs="Arial"/>
          <w:sz w:val="20"/>
          <w:szCs w:val="20"/>
        </w:rPr>
      </w:pPr>
    </w:p>
    <w:p w:rsidR="00BB3702" w:rsidRPr="00CF6856" w:rsidRDefault="00BB3702" w:rsidP="00BB3702">
      <w:pPr>
        <w:spacing w:after="0" w:line="240" w:lineRule="auto"/>
        <w:jc w:val="both"/>
        <w:rPr>
          <w:rFonts w:cs="Arial"/>
          <w:sz w:val="20"/>
          <w:szCs w:val="20"/>
        </w:rPr>
      </w:pPr>
      <w:r>
        <w:rPr>
          <w:rFonts w:cs="Arial"/>
          <w:sz w:val="20"/>
          <w:szCs w:val="20"/>
        </w:rPr>
        <w:t>Rechtsanwalt</w:t>
      </w:r>
    </w:p>
    <w:p w:rsidR="00BB3702" w:rsidRPr="00CF6856" w:rsidRDefault="00BB3702" w:rsidP="00BB3702">
      <w:pPr>
        <w:spacing w:after="0" w:line="240" w:lineRule="auto"/>
        <w:jc w:val="both"/>
        <w:rPr>
          <w:rFonts w:cs="Arial"/>
          <w:sz w:val="20"/>
          <w:szCs w:val="20"/>
        </w:rPr>
      </w:pPr>
      <w:r w:rsidRPr="00CF6856">
        <w:rPr>
          <w:rFonts w:cs="Arial"/>
          <w:sz w:val="20"/>
          <w:szCs w:val="20"/>
        </w:rPr>
        <w:t>Arnd Lackner</w:t>
      </w:r>
    </w:p>
    <w:p w:rsidR="00BB3702" w:rsidRDefault="00BB3702" w:rsidP="00BB3702">
      <w:pPr>
        <w:spacing w:after="0" w:line="240" w:lineRule="auto"/>
        <w:jc w:val="both"/>
        <w:rPr>
          <w:rFonts w:cs="Arial"/>
          <w:bCs/>
          <w:sz w:val="20"/>
          <w:szCs w:val="20"/>
        </w:rPr>
      </w:pPr>
      <w:r w:rsidRPr="003C614B">
        <w:rPr>
          <w:rFonts w:cs="Arial"/>
          <w:bCs/>
          <w:sz w:val="20"/>
          <w:szCs w:val="20"/>
        </w:rPr>
        <w:t>Fachanwalt für Ste</w:t>
      </w:r>
      <w:r>
        <w:rPr>
          <w:rFonts w:cs="Arial"/>
          <w:bCs/>
          <w:sz w:val="20"/>
          <w:szCs w:val="20"/>
        </w:rPr>
        <w:t xml:space="preserve">uerrecht </w:t>
      </w:r>
    </w:p>
    <w:p w:rsidR="00BB3702" w:rsidRPr="00CF6856" w:rsidRDefault="00BB3702" w:rsidP="00BB3702">
      <w:pPr>
        <w:spacing w:after="0" w:line="240" w:lineRule="auto"/>
        <w:jc w:val="both"/>
        <w:rPr>
          <w:rFonts w:cs="Arial"/>
          <w:sz w:val="20"/>
          <w:szCs w:val="20"/>
        </w:rPr>
      </w:pPr>
      <w:r w:rsidRPr="003C614B">
        <w:rPr>
          <w:rFonts w:cs="Arial"/>
          <w:bCs/>
          <w:sz w:val="20"/>
          <w:szCs w:val="20"/>
        </w:rPr>
        <w:t>Fachanwalt für Handels- und Gesellschaftsrecht</w:t>
      </w:r>
    </w:p>
    <w:p w:rsidR="00BB3702" w:rsidRPr="00CF6856" w:rsidRDefault="00BB3702" w:rsidP="00BB3702">
      <w:pPr>
        <w:spacing w:after="0" w:line="240" w:lineRule="auto"/>
        <w:jc w:val="both"/>
        <w:rPr>
          <w:rFonts w:cs="Arial"/>
          <w:b/>
          <w:bCs/>
          <w:sz w:val="20"/>
          <w:szCs w:val="20"/>
        </w:rPr>
      </w:pPr>
      <w:r w:rsidRPr="00CF6856">
        <w:rPr>
          <w:rFonts w:cs="Arial"/>
          <w:sz w:val="20"/>
          <w:szCs w:val="20"/>
        </w:rPr>
        <w:t>WAGNER Rechtsanwälte</w:t>
      </w:r>
      <w:r w:rsidRPr="00CF6856">
        <w:rPr>
          <w:rFonts w:cs="Arial"/>
          <w:b/>
          <w:bCs/>
          <w:sz w:val="20"/>
          <w:szCs w:val="20"/>
        </w:rPr>
        <w:t xml:space="preserve"> </w:t>
      </w:r>
    </w:p>
    <w:p w:rsidR="00BB3702" w:rsidRPr="00CF6856" w:rsidRDefault="00BB3702" w:rsidP="00BB3702">
      <w:pPr>
        <w:spacing w:after="0" w:line="240" w:lineRule="auto"/>
        <w:jc w:val="both"/>
        <w:rPr>
          <w:rFonts w:cs="Arial"/>
          <w:sz w:val="20"/>
          <w:szCs w:val="20"/>
        </w:rPr>
      </w:pPr>
      <w:r w:rsidRPr="00CF6856">
        <w:rPr>
          <w:rFonts w:cs="Arial"/>
          <w:sz w:val="20"/>
          <w:szCs w:val="20"/>
        </w:rPr>
        <w:t>Großherzog-Friedrich-Str. 40</w:t>
      </w:r>
    </w:p>
    <w:p w:rsidR="00BB3702" w:rsidRPr="00CF6856" w:rsidRDefault="00BB3702" w:rsidP="00BB3702">
      <w:pPr>
        <w:spacing w:after="0" w:line="240" w:lineRule="auto"/>
        <w:jc w:val="both"/>
        <w:rPr>
          <w:rFonts w:cs="Arial"/>
          <w:sz w:val="20"/>
          <w:szCs w:val="20"/>
        </w:rPr>
      </w:pPr>
      <w:r w:rsidRPr="00CF6856">
        <w:rPr>
          <w:rFonts w:cs="Arial"/>
          <w:sz w:val="20"/>
          <w:szCs w:val="20"/>
        </w:rPr>
        <w:t>66111 Saarbrücken</w:t>
      </w:r>
    </w:p>
    <w:p w:rsidR="00BB3702" w:rsidRPr="00CF6856" w:rsidRDefault="00BB3702" w:rsidP="00BB3702">
      <w:pPr>
        <w:spacing w:after="0" w:line="240" w:lineRule="auto"/>
        <w:jc w:val="both"/>
        <w:rPr>
          <w:rFonts w:cs="Arial"/>
          <w:sz w:val="20"/>
          <w:szCs w:val="20"/>
        </w:rPr>
      </w:pPr>
      <w:r w:rsidRPr="00CF6856">
        <w:rPr>
          <w:rFonts w:cs="Arial"/>
          <w:sz w:val="20"/>
          <w:szCs w:val="20"/>
        </w:rPr>
        <w:t xml:space="preserve"> </w:t>
      </w:r>
    </w:p>
    <w:p w:rsidR="00BB3702" w:rsidRPr="00CF6856" w:rsidRDefault="00BB3702" w:rsidP="00BB3702">
      <w:pPr>
        <w:spacing w:after="0" w:line="240" w:lineRule="auto"/>
        <w:jc w:val="both"/>
        <w:rPr>
          <w:rFonts w:cs="Arial"/>
          <w:sz w:val="20"/>
          <w:szCs w:val="20"/>
        </w:rPr>
      </w:pPr>
      <w:r w:rsidRPr="00CF6856">
        <w:rPr>
          <w:rFonts w:cs="Arial"/>
          <w:sz w:val="20"/>
          <w:szCs w:val="20"/>
        </w:rPr>
        <w:t>Tel.: +49 (0) 681-95 82 82-0</w:t>
      </w:r>
      <w:r w:rsidRPr="00CF6856">
        <w:rPr>
          <w:rFonts w:cs="Arial"/>
          <w:sz w:val="20"/>
          <w:szCs w:val="20"/>
        </w:rPr>
        <w:tab/>
      </w:r>
      <w:r w:rsidRPr="00CF6856">
        <w:rPr>
          <w:rFonts w:cs="Arial"/>
          <w:sz w:val="20"/>
          <w:szCs w:val="20"/>
        </w:rPr>
        <w:tab/>
        <w:t>Fax: +49 (0) 681-95 82 82-10</w:t>
      </w:r>
    </w:p>
    <w:p w:rsidR="00BB3702" w:rsidRPr="00CF6856" w:rsidRDefault="00BB3702" w:rsidP="00BB3702">
      <w:pPr>
        <w:spacing w:after="0" w:line="240" w:lineRule="auto"/>
        <w:jc w:val="both"/>
        <w:rPr>
          <w:rFonts w:cs="Arial"/>
          <w:sz w:val="20"/>
          <w:szCs w:val="20"/>
        </w:rPr>
      </w:pPr>
      <w:r w:rsidRPr="00CF6856">
        <w:rPr>
          <w:rFonts w:cs="Arial"/>
          <w:sz w:val="20"/>
          <w:szCs w:val="20"/>
          <w:lang w:val="it-IT"/>
        </w:rPr>
        <w:t xml:space="preserve">E-Mail: </w:t>
      </w:r>
      <w:hyperlink r:id="rId10" w:tooltip="Öffnet ein Fenster zum E-Mail-Senden" w:history="1">
        <w:r w:rsidRPr="00CF6856">
          <w:rPr>
            <w:rStyle w:val="Hyperlink"/>
            <w:rFonts w:cs="Arial"/>
            <w:sz w:val="20"/>
            <w:szCs w:val="20"/>
            <w:lang w:val="it-IT"/>
          </w:rPr>
          <w:t>wagner@webvocat.de</w:t>
        </w:r>
      </w:hyperlink>
      <w:r w:rsidRPr="00CF6856">
        <w:rPr>
          <w:rFonts w:cs="Arial"/>
          <w:sz w:val="20"/>
          <w:szCs w:val="20"/>
          <w:lang w:val="it-IT"/>
        </w:rPr>
        <w:tab/>
      </w:r>
      <w:r w:rsidRPr="00CF6856">
        <w:rPr>
          <w:rFonts w:cs="Arial"/>
          <w:sz w:val="20"/>
          <w:szCs w:val="20"/>
          <w:lang w:val="it-IT"/>
        </w:rPr>
        <w:tab/>
      </w:r>
      <w:hyperlink r:id="rId11" w:history="1">
        <w:r w:rsidRPr="00CF6856">
          <w:rPr>
            <w:rStyle w:val="Hyperlink"/>
            <w:rFonts w:cs="Arial"/>
            <w:sz w:val="20"/>
            <w:szCs w:val="20"/>
            <w:lang w:val="it-IT"/>
          </w:rPr>
          <w:t>www.webvocat.de</w:t>
        </w:r>
      </w:hyperlink>
    </w:p>
    <w:p w:rsidR="00BB3702" w:rsidRPr="00CF6856" w:rsidRDefault="00BB3702" w:rsidP="00BB3702">
      <w:pPr>
        <w:spacing w:after="0" w:line="240" w:lineRule="auto"/>
        <w:jc w:val="both"/>
        <w:rPr>
          <w:rFonts w:cs="Arial"/>
          <w:sz w:val="20"/>
          <w:szCs w:val="20"/>
        </w:rPr>
      </w:pPr>
    </w:p>
    <w:p w:rsidR="00BB3702" w:rsidRDefault="00BB3702" w:rsidP="00BB3702">
      <w:pPr>
        <w:spacing w:before="100" w:beforeAutospacing="1" w:after="100" w:afterAutospacing="1" w:line="240" w:lineRule="auto"/>
        <w:rPr>
          <w:rFonts w:ascii="Times New Roman" w:hAnsi="Times New Roman"/>
          <w:sz w:val="24"/>
          <w:szCs w:val="24"/>
          <w:lang w:eastAsia="de-DE"/>
        </w:rPr>
      </w:pPr>
    </w:p>
    <w:sectPr w:rsidR="00BB3702">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481" w:rsidRDefault="00377481" w:rsidP="00BB3702">
      <w:pPr>
        <w:spacing w:after="0" w:line="240" w:lineRule="auto"/>
      </w:pPr>
      <w:r>
        <w:separator/>
      </w:r>
    </w:p>
  </w:endnote>
  <w:endnote w:type="continuationSeparator" w:id="0">
    <w:p w:rsidR="00377481" w:rsidRDefault="00377481" w:rsidP="00BB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Univers 57 Condense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481" w:rsidRDefault="00377481" w:rsidP="00BB3702">
      <w:pPr>
        <w:spacing w:after="0" w:line="240" w:lineRule="auto"/>
      </w:pPr>
      <w:r>
        <w:separator/>
      </w:r>
    </w:p>
  </w:footnote>
  <w:footnote w:type="continuationSeparator" w:id="0">
    <w:p w:rsidR="00377481" w:rsidRDefault="00377481" w:rsidP="00BB3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02" w:rsidRDefault="00BB3702" w:rsidP="00BB3702">
    <w:pPr>
      <w:pStyle w:val="Kopfzeile"/>
      <w:jc w:val="center"/>
    </w:pPr>
    <w:r w:rsidRPr="005F7271">
      <w:rPr>
        <w:rFonts w:cs="Arial"/>
        <w:b/>
        <w:bCs/>
        <w:sz w:val="28"/>
        <w:szCs w:val="28"/>
      </w:rPr>
      <w:t>mittelstandsdepesche 0</w:t>
    </w:r>
    <w:r>
      <w:rPr>
        <w:rFonts w:cs="Arial"/>
        <w:b/>
        <w:bCs/>
        <w:sz w:val="28"/>
        <w:szCs w:val="28"/>
      </w:rPr>
      <w:t>4</w:t>
    </w:r>
    <w:r w:rsidRPr="005F7271">
      <w:rPr>
        <w:rFonts w:cs="Arial"/>
        <w:b/>
        <w:bCs/>
        <w:sz w:val="28"/>
        <w:szCs w:val="28"/>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63"/>
    <w:rsid w:val="0008780F"/>
    <w:rsid w:val="00104831"/>
    <w:rsid w:val="00377481"/>
    <w:rsid w:val="003C614B"/>
    <w:rsid w:val="00503363"/>
    <w:rsid w:val="005F7271"/>
    <w:rsid w:val="00A206FE"/>
    <w:rsid w:val="00BB3702"/>
    <w:rsid w:val="00CF6856"/>
    <w:rsid w:val="00D32887"/>
    <w:rsid w:val="00EB2759"/>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5712BD-C76B-4555-808E-B464DBE9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503363"/>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503363"/>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503363"/>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503363"/>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503363"/>
    <w:rPr>
      <w:rFonts w:cs="Times New Roman"/>
    </w:rPr>
  </w:style>
  <w:style w:type="character" w:styleId="Hyperlink">
    <w:name w:val="Hyperlink"/>
    <w:basedOn w:val="Absatz-Standardschriftart"/>
    <w:uiPriority w:val="99"/>
    <w:semiHidden/>
    <w:unhideWhenUsed/>
    <w:rsid w:val="00503363"/>
    <w:rPr>
      <w:rFonts w:cs="Times New Roman"/>
      <w:color w:val="0000FF"/>
      <w:u w:val="single"/>
    </w:rPr>
  </w:style>
  <w:style w:type="paragraph" w:styleId="StandardWeb">
    <w:name w:val="Normal (Web)"/>
    <w:basedOn w:val="Standard"/>
    <w:uiPriority w:val="99"/>
    <w:semiHidden/>
    <w:unhideWhenUsed/>
    <w:rsid w:val="00503363"/>
    <w:pPr>
      <w:spacing w:before="100" w:beforeAutospacing="1" w:after="100" w:afterAutospacing="1" w:line="240" w:lineRule="auto"/>
    </w:pPr>
    <w:rPr>
      <w:rFonts w:ascii="Times New Roman" w:hAnsi="Times New Roman"/>
      <w:sz w:val="24"/>
      <w:szCs w:val="24"/>
      <w:lang w:eastAsia="de-DE"/>
    </w:rPr>
  </w:style>
  <w:style w:type="paragraph" w:customStyle="1" w:styleId="align-justify">
    <w:name w:val="align-justify"/>
    <w:basedOn w:val="Standard"/>
    <w:rsid w:val="00503363"/>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BB37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B3702"/>
    <w:rPr>
      <w:rFonts w:cs="Times New Roman"/>
    </w:rPr>
  </w:style>
  <w:style w:type="paragraph" w:styleId="Fuzeile">
    <w:name w:val="footer"/>
    <w:basedOn w:val="Standard"/>
    <w:link w:val="FuzeileZchn"/>
    <w:uiPriority w:val="99"/>
    <w:unhideWhenUsed/>
    <w:rsid w:val="00BB3702"/>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B37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564724">
      <w:marLeft w:val="0"/>
      <w:marRight w:val="0"/>
      <w:marTop w:val="0"/>
      <w:marBottom w:val="0"/>
      <w:divBdr>
        <w:top w:val="none" w:sz="0" w:space="0" w:color="auto"/>
        <w:left w:val="none" w:sz="0" w:space="0" w:color="auto"/>
        <w:bottom w:val="none" w:sz="0" w:space="0" w:color="auto"/>
        <w:right w:val="none" w:sz="0" w:space="0" w:color="auto"/>
      </w:divBdr>
      <w:divsChild>
        <w:div w:id="201256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jure.org/gesetze/HGB/74.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ejure.org/gesetze/GewO/110.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jure.org/dienste/vernetzung/rechtsprechung?Text=10%20AZR%20448/15" TargetMode="External"/><Relationship Id="rId11" Type="http://schemas.openxmlformats.org/officeDocument/2006/relationships/hyperlink" Target="http://www.webvocat.de/" TargetMode="External"/><Relationship Id="rId5" Type="http://schemas.openxmlformats.org/officeDocument/2006/relationships/endnotes" Target="endnotes.xml"/><Relationship Id="rId10" Type="http://schemas.openxmlformats.org/officeDocument/2006/relationships/hyperlink" Target="mailto:wagner@webvocat.de" TargetMode="External"/><Relationship Id="rId4" Type="http://schemas.openxmlformats.org/officeDocument/2006/relationships/footnotes" Target="footnotes.xml"/><Relationship Id="rId9" Type="http://schemas.openxmlformats.org/officeDocument/2006/relationships/hyperlink" Target="https://www.webvocat.de/kontak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5C88CB69.dotm</Template>
  <TotalTime>0</TotalTime>
  <Pages>2</Pages>
  <Words>564</Words>
  <Characters>3558</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2017-05-03T09:36:00Z</dcterms:created>
  <dcterms:modified xsi:type="dcterms:W3CDTF">2017-05-03T09:36:00Z</dcterms:modified>
</cp:coreProperties>
</file>