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D55" w:rsidRPr="00385BF2" w:rsidRDefault="00CA5D55" w:rsidP="00CA5D55">
      <w:pPr>
        <w:tabs>
          <w:tab w:val="center" w:pos="4536"/>
          <w:tab w:val="right" w:pos="9072"/>
        </w:tabs>
        <w:spacing w:after="0" w:line="240" w:lineRule="auto"/>
        <w:jc w:val="right"/>
        <w:rPr>
          <w:rFonts w:ascii="Calibri" w:hAnsi="Calibri" w:cs="Calibri"/>
          <w:sz w:val="24"/>
          <w:szCs w:val="24"/>
          <w:lang w:val="en-US"/>
        </w:rPr>
      </w:pPr>
      <w:bookmarkStart w:id="0" w:name="_GoBack"/>
      <w:bookmarkEnd w:id="0"/>
      <w:r w:rsidRPr="00385BF2">
        <w:rPr>
          <w:rFonts w:cs="Arial"/>
          <w:b/>
          <w:bCs/>
          <w:sz w:val="40"/>
          <w:szCs w:val="40"/>
          <w:lang w:val="en-US"/>
        </w:rPr>
        <w:t>DASV</w:t>
      </w:r>
    </w:p>
    <w:p w:rsidR="00CA5D55" w:rsidRPr="00385BF2" w:rsidRDefault="00CA5D55" w:rsidP="00CA5D55">
      <w:pPr>
        <w:spacing w:after="0" w:line="240" w:lineRule="auto"/>
        <w:jc w:val="right"/>
        <w:rPr>
          <w:rFonts w:cs="Arial"/>
          <w:sz w:val="20"/>
          <w:szCs w:val="20"/>
          <w:lang w:val="en-US"/>
        </w:rPr>
      </w:pPr>
      <w:bookmarkStart w:id="1" w:name="2"/>
      <w:bookmarkStart w:id="2" w:name="9"/>
      <w:bookmarkEnd w:id="1"/>
      <w:bookmarkEnd w:id="2"/>
      <w:r w:rsidRPr="00385BF2">
        <w:rPr>
          <w:rFonts w:cs="Arial"/>
          <w:sz w:val="20"/>
          <w:szCs w:val="20"/>
          <w:lang w:val="en-US"/>
        </w:rPr>
        <w:t>Deutsche Anwalts- und</w:t>
      </w:r>
    </w:p>
    <w:p w:rsidR="00CA5D55" w:rsidRPr="00385BF2" w:rsidRDefault="00CA5D55" w:rsidP="00CA5D55">
      <w:pPr>
        <w:spacing w:after="0" w:line="240" w:lineRule="auto"/>
        <w:jc w:val="right"/>
        <w:rPr>
          <w:rFonts w:cs="Arial"/>
          <w:sz w:val="20"/>
          <w:szCs w:val="20"/>
          <w:lang w:val="en-US"/>
        </w:rPr>
      </w:pPr>
      <w:r w:rsidRPr="00385BF2">
        <w:rPr>
          <w:rFonts w:cs="Arial"/>
          <w:sz w:val="20"/>
          <w:szCs w:val="20"/>
          <w:lang w:val="en-US"/>
        </w:rPr>
        <w:t>Steuerberatervereinigung</w:t>
      </w:r>
    </w:p>
    <w:p w:rsidR="00CA5D55" w:rsidRPr="00385BF2" w:rsidRDefault="00CA5D55" w:rsidP="00CA5D55">
      <w:pPr>
        <w:spacing w:after="0" w:line="240" w:lineRule="auto"/>
        <w:jc w:val="right"/>
        <w:rPr>
          <w:rFonts w:cs="Arial"/>
          <w:sz w:val="20"/>
          <w:szCs w:val="20"/>
          <w:lang w:val="en-US"/>
        </w:rPr>
      </w:pPr>
      <w:r w:rsidRPr="00385BF2">
        <w:rPr>
          <w:rFonts w:cs="Arial"/>
          <w:sz w:val="20"/>
          <w:szCs w:val="20"/>
          <w:lang w:val="en-US"/>
        </w:rPr>
        <w:t>für die mittelständische</w:t>
      </w:r>
    </w:p>
    <w:p w:rsidR="00CA5D55" w:rsidRPr="00385BF2" w:rsidRDefault="00CA5D55" w:rsidP="00CA5D55">
      <w:pPr>
        <w:spacing w:after="0" w:line="240" w:lineRule="auto"/>
        <w:jc w:val="right"/>
        <w:rPr>
          <w:rFonts w:cs="Arial"/>
          <w:sz w:val="20"/>
          <w:szCs w:val="20"/>
          <w:lang w:val="en-US"/>
        </w:rPr>
      </w:pPr>
      <w:r w:rsidRPr="00385BF2">
        <w:rPr>
          <w:rFonts w:cs="Arial"/>
          <w:sz w:val="20"/>
          <w:szCs w:val="20"/>
          <w:lang w:val="en-US"/>
        </w:rPr>
        <w:t>Wirtschaft e. V.</w:t>
      </w:r>
    </w:p>
    <w:p w:rsidR="003B6F74" w:rsidRDefault="003B6F74" w:rsidP="00CA5D55">
      <w:pPr>
        <w:spacing w:after="0" w:line="360" w:lineRule="auto"/>
        <w:jc w:val="both"/>
        <w:outlineLvl w:val="0"/>
        <w:rPr>
          <w:rFonts w:cs="Arial"/>
          <w:b/>
          <w:bCs/>
          <w:kern w:val="36"/>
          <w:lang w:eastAsia="de-DE"/>
        </w:rPr>
      </w:pPr>
      <w:r w:rsidRPr="00CA5D55">
        <w:rPr>
          <w:rFonts w:cs="Arial"/>
          <w:b/>
          <w:bCs/>
          <w:kern w:val="36"/>
          <w:lang w:eastAsia="de-DE"/>
        </w:rPr>
        <w:t>Wie teuer dürfen Ku</w:t>
      </w:r>
      <w:r w:rsidR="00CA5D55">
        <w:rPr>
          <w:rFonts w:cs="Arial"/>
          <w:b/>
          <w:bCs/>
          <w:kern w:val="36"/>
          <w:lang w:eastAsia="de-DE"/>
        </w:rPr>
        <w:t xml:space="preserve">ndendiensttelefonnummern sein? </w:t>
      </w:r>
    </w:p>
    <w:p w:rsidR="00CA5D55" w:rsidRDefault="00CA5D55" w:rsidP="00CA5D55">
      <w:pPr>
        <w:spacing w:after="0" w:line="360" w:lineRule="auto"/>
        <w:jc w:val="both"/>
        <w:outlineLvl w:val="0"/>
        <w:rPr>
          <w:rFonts w:cs="Arial"/>
          <w:b/>
          <w:bCs/>
          <w:kern w:val="36"/>
          <w:lang w:eastAsia="de-DE"/>
        </w:rPr>
      </w:pPr>
    </w:p>
    <w:p w:rsidR="00CA1971" w:rsidRPr="00CF6856" w:rsidRDefault="00CA1971" w:rsidP="00CA1971">
      <w:pPr>
        <w:spacing w:after="0" w:line="240" w:lineRule="auto"/>
        <w:jc w:val="both"/>
        <w:rPr>
          <w:rFonts w:cs="Arial"/>
          <w:bCs/>
        </w:rPr>
      </w:pPr>
      <w:r w:rsidRPr="00CF6856">
        <w:rPr>
          <w:rFonts w:cs="Arial"/>
          <w:bCs/>
        </w:rPr>
        <w:t>ein Artikel von Rechtsanwalt Manfred Wagner</w:t>
      </w:r>
      <w:r>
        <w:rPr>
          <w:rFonts w:cs="Arial"/>
          <w:bCs/>
        </w:rPr>
        <w:t xml:space="preserve"> und </w:t>
      </w:r>
      <w:r w:rsidRPr="00CA1971">
        <w:rPr>
          <w:rFonts w:cs="Arial"/>
          <w:lang w:eastAsia="de-DE"/>
        </w:rPr>
        <w:t>Elina Müller</w:t>
      </w:r>
      <w:r w:rsidRPr="00CF6856">
        <w:rPr>
          <w:rFonts w:cs="Arial"/>
          <w:bCs/>
        </w:rPr>
        <w:t>, Saarbrücken</w:t>
      </w:r>
    </w:p>
    <w:p w:rsidR="00CA5D55" w:rsidRDefault="00CA5D55" w:rsidP="00CA5D55">
      <w:pPr>
        <w:spacing w:after="0" w:line="360" w:lineRule="auto"/>
        <w:jc w:val="both"/>
        <w:outlineLvl w:val="0"/>
        <w:rPr>
          <w:rFonts w:cs="Arial"/>
          <w:b/>
          <w:bCs/>
          <w:kern w:val="36"/>
          <w:lang w:eastAsia="de-DE"/>
        </w:rPr>
      </w:pPr>
    </w:p>
    <w:p w:rsidR="003B6F74" w:rsidRPr="00CA5D55" w:rsidRDefault="003B6F74" w:rsidP="00CA5D55">
      <w:pPr>
        <w:spacing w:after="0" w:line="360" w:lineRule="auto"/>
        <w:jc w:val="both"/>
        <w:outlineLvl w:val="1"/>
        <w:rPr>
          <w:rFonts w:cs="Arial"/>
          <w:b/>
          <w:bCs/>
          <w:lang w:eastAsia="de-DE"/>
        </w:rPr>
      </w:pPr>
      <w:r w:rsidRPr="00CA5D55">
        <w:rPr>
          <w:rFonts w:cs="Arial"/>
          <w:b/>
          <w:bCs/>
          <w:lang w:eastAsia="de-DE"/>
        </w:rPr>
        <w:t xml:space="preserve">Mit seinem Urteil vom 02. März 2017 (Az. </w:t>
      </w:r>
      <w:hyperlink r:id="rId6" w:tgtFrame="_blank" w:tooltip="C-568/15 (2 zugeordnete Entscheidungen)" w:history="1">
        <w:r w:rsidRPr="00CA5D55">
          <w:rPr>
            <w:rFonts w:cs="Arial"/>
            <w:b/>
            <w:bCs/>
            <w:lang w:eastAsia="de-DE"/>
          </w:rPr>
          <w:t>C-568/15</w:t>
        </w:r>
      </w:hyperlink>
      <w:r w:rsidRPr="00CA5D55">
        <w:rPr>
          <w:rFonts w:cs="Arial"/>
          <w:b/>
          <w:bCs/>
          <w:lang w:eastAsia="de-DE"/>
        </w:rPr>
        <w:t>) hat der EuGH klargestellt, dass die Kosten für einen Anruf unter einer Kundendiensttelefonnummer nicht die Kosten eines gewöhnlichen Anrufs überschreiten dürfen.</w:t>
      </w:r>
    </w:p>
    <w:p w:rsidR="00CA5D55" w:rsidRDefault="00CA5D55" w:rsidP="00CA5D55">
      <w:pPr>
        <w:spacing w:after="0" w:line="360" w:lineRule="auto"/>
        <w:jc w:val="both"/>
        <w:rPr>
          <w:rFonts w:cs="Arial"/>
          <w:lang w:eastAsia="de-DE"/>
        </w:rPr>
      </w:pPr>
    </w:p>
    <w:p w:rsidR="00CA5D55" w:rsidRDefault="003B6F74" w:rsidP="00CA5D55">
      <w:pPr>
        <w:spacing w:after="0" w:line="360" w:lineRule="auto"/>
        <w:jc w:val="both"/>
        <w:rPr>
          <w:rFonts w:cs="Arial"/>
          <w:lang w:eastAsia="de-DE"/>
        </w:rPr>
      </w:pPr>
      <w:r w:rsidRPr="00CA5D55">
        <w:rPr>
          <w:rFonts w:cs="Arial"/>
          <w:lang w:eastAsia="de-DE"/>
        </w:rPr>
        <w:t>Ursache für das ergangene Urteil war die Verwendung einer Service-Rufnummer (0180-Rufnummer) durch die comtech GmbH. Jene Nummer wurde mitunter Kunden angeboten, die mit dem Unternehmen vertragliche Beziehungen eingegangen sind und diesbezüglich Kontakt aufnehmen wollten. Eine solche, sogenannte „geografisch nicht gebundene“ Rufnummer verursacht jedoch höhere Kosten als eine gewöhnliche (geografische) Festnetz- oder Mobilfunknummer.</w:t>
      </w:r>
    </w:p>
    <w:p w:rsidR="00CA5D55" w:rsidRDefault="00CA5D55" w:rsidP="00CA5D55">
      <w:pPr>
        <w:spacing w:after="0" w:line="360" w:lineRule="auto"/>
        <w:jc w:val="both"/>
        <w:rPr>
          <w:rFonts w:cs="Arial"/>
          <w:lang w:eastAsia="de-DE"/>
        </w:rPr>
      </w:pPr>
    </w:p>
    <w:p w:rsidR="00CA5D55" w:rsidRDefault="003B6F74" w:rsidP="00CA5D55">
      <w:pPr>
        <w:spacing w:after="0" w:line="360" w:lineRule="auto"/>
        <w:jc w:val="both"/>
        <w:rPr>
          <w:rFonts w:cs="Arial"/>
          <w:lang w:eastAsia="de-DE"/>
        </w:rPr>
      </w:pPr>
      <w:r w:rsidRPr="00CA5D55">
        <w:rPr>
          <w:rFonts w:cs="Arial"/>
          <w:lang w:eastAsia="de-DE"/>
        </w:rPr>
        <w:t>Dem EuGH wurde deshalb die Frage vorgelegt, inwieweit der Begriff „Grundtarif“ in Art. 21 der Richtlinie 2011/83 auszulegen ist, ob also eine Service-Rufnummer keine höheren Kosten als eine geografische Rufnummer verursachen darf, wenn der Grund des Telefonats auf einem abgeschlossenen Vertrag beruht.</w:t>
      </w:r>
    </w:p>
    <w:p w:rsidR="00CA5D55" w:rsidRDefault="00CA5D55" w:rsidP="00CA5D55">
      <w:pPr>
        <w:spacing w:after="0" w:line="360" w:lineRule="auto"/>
        <w:jc w:val="both"/>
        <w:rPr>
          <w:rFonts w:cs="Arial"/>
          <w:lang w:eastAsia="de-DE"/>
        </w:rPr>
      </w:pPr>
    </w:p>
    <w:p w:rsidR="00CA5D55" w:rsidRDefault="003B6F74" w:rsidP="00CA5D55">
      <w:pPr>
        <w:spacing w:after="0" w:line="360" w:lineRule="auto"/>
        <w:jc w:val="both"/>
        <w:rPr>
          <w:rFonts w:cs="Arial"/>
          <w:lang w:eastAsia="de-DE"/>
        </w:rPr>
      </w:pPr>
      <w:r w:rsidRPr="00CA5D55">
        <w:rPr>
          <w:rFonts w:cs="Arial"/>
          <w:lang w:eastAsia="de-DE"/>
        </w:rPr>
        <w:t>Nach Art. 21 Abs. 1 der Richtlinie 2011/83 sorgen die Mitgliedstaaten dafür, dass der Verbraucher nicht verpflichtet ist, mehr als den Grundtarif zu zahlen, wenn der Unternehmer eine Telefonleitung eingerichtet hat, um mit ihm im Zusammenhang mit dem geschlossenen Vertrag telefonisch Kontakt aufzunehmen.</w:t>
      </w:r>
    </w:p>
    <w:p w:rsidR="00CA5D55" w:rsidRDefault="00CA5D55" w:rsidP="00CA5D55">
      <w:pPr>
        <w:spacing w:after="0" w:line="360" w:lineRule="auto"/>
        <w:jc w:val="both"/>
        <w:rPr>
          <w:rFonts w:cs="Arial"/>
          <w:lang w:eastAsia="de-DE"/>
        </w:rPr>
      </w:pPr>
    </w:p>
    <w:p w:rsidR="00CA5D55" w:rsidRDefault="003B6F74" w:rsidP="00CA5D55">
      <w:pPr>
        <w:spacing w:after="0" w:line="360" w:lineRule="auto"/>
        <w:jc w:val="both"/>
        <w:rPr>
          <w:rFonts w:cs="Arial"/>
          <w:lang w:eastAsia="de-DE"/>
        </w:rPr>
      </w:pPr>
      <w:r w:rsidRPr="00CA5D55">
        <w:rPr>
          <w:rFonts w:cs="Arial"/>
          <w:lang w:eastAsia="de-DE"/>
        </w:rPr>
        <w:t>Der Gerichtshof kam schließlich zu dem Schluss, dass der Begriff „Grundtarif“ im gewöhnlichen Sinn zu verstehen ist, somit die Kosten für einen gewöhnlichen Anruf gemeint sind. Anlass für diese Entscheidung war zum einen die Art der Verwendung des Begriffs in der Richtlinie selbst und zum anderen die Tatsache, dass die Richtlinie verstärkt dem Verbraucherschutz dient.</w:t>
      </w:r>
    </w:p>
    <w:p w:rsidR="00CA5D55" w:rsidRDefault="00CA5D55" w:rsidP="00CA5D55">
      <w:pPr>
        <w:spacing w:after="0" w:line="360" w:lineRule="auto"/>
        <w:jc w:val="both"/>
        <w:rPr>
          <w:rFonts w:cs="Arial"/>
          <w:lang w:eastAsia="de-DE"/>
        </w:rPr>
      </w:pPr>
    </w:p>
    <w:p w:rsidR="00CA5D55" w:rsidRDefault="003B6F74" w:rsidP="00CA5D55">
      <w:pPr>
        <w:spacing w:after="0" w:line="360" w:lineRule="auto"/>
        <w:jc w:val="both"/>
        <w:rPr>
          <w:rFonts w:cs="Arial"/>
          <w:lang w:eastAsia="de-DE"/>
        </w:rPr>
      </w:pPr>
      <w:r w:rsidRPr="00CA5D55">
        <w:rPr>
          <w:rFonts w:cs="Arial"/>
          <w:lang w:eastAsia="de-DE"/>
        </w:rPr>
        <w:t xml:space="preserve">Schließlich könnte jede Auslegung des Begriffs dahingehend, dass dem Verbraucher höhere Kosten als den gewöhnlichen Kostenberechnet werden dürfen, dafür sorgen, dass der </w:t>
      </w:r>
      <w:r w:rsidRPr="00CA5D55">
        <w:rPr>
          <w:rFonts w:cs="Arial"/>
          <w:lang w:eastAsia="de-DE"/>
        </w:rPr>
        <w:lastRenderedPageBreak/>
        <w:t>Verbraucher aufgrund der zusätzlichen Ausgaben eine Service-Rufnummer nicht in Anspruch nimmt, um seine Rechte aus einem bestehenden Vertrag geltend zu machen.</w:t>
      </w:r>
    </w:p>
    <w:p w:rsidR="00CA5D55" w:rsidRDefault="00CA5D55" w:rsidP="00CA5D55">
      <w:pPr>
        <w:spacing w:after="0" w:line="360" w:lineRule="auto"/>
        <w:jc w:val="both"/>
        <w:rPr>
          <w:rFonts w:cs="Arial"/>
          <w:lang w:eastAsia="de-DE"/>
        </w:rPr>
      </w:pPr>
    </w:p>
    <w:p w:rsidR="00CA5D55" w:rsidRDefault="003B6F74" w:rsidP="00CA5D55">
      <w:pPr>
        <w:spacing w:after="0" w:line="360" w:lineRule="auto"/>
        <w:jc w:val="both"/>
        <w:rPr>
          <w:rFonts w:cs="Arial"/>
          <w:b/>
          <w:bCs/>
          <w:lang w:eastAsia="de-DE"/>
        </w:rPr>
      </w:pPr>
      <w:r w:rsidRPr="00CA5D55">
        <w:rPr>
          <w:rFonts w:cs="Arial"/>
          <w:b/>
          <w:bCs/>
          <w:lang w:eastAsia="de-DE"/>
        </w:rPr>
        <w:t>Fazit</w:t>
      </w:r>
    </w:p>
    <w:p w:rsidR="00CA5D55" w:rsidRDefault="003B6F74" w:rsidP="00CA5D55">
      <w:pPr>
        <w:spacing w:after="0" w:line="360" w:lineRule="auto"/>
        <w:jc w:val="both"/>
        <w:rPr>
          <w:rFonts w:cs="Arial"/>
          <w:lang w:eastAsia="de-DE"/>
        </w:rPr>
      </w:pPr>
      <w:r w:rsidRPr="00CA5D55">
        <w:rPr>
          <w:rFonts w:cs="Arial"/>
          <w:lang w:eastAsia="de-DE"/>
        </w:rPr>
        <w:t>Nach dem EuGH muss der Begriff „Grundtarif“ in Art. 21 der Richtlinie 2011/83/EU verbraucherfreundlich ausgelegt werden. Folglich dürfen, wenn der Unternehmer eine Service-Rufnummer eingerichtet hat und ein Anruf im Zusammenhang mit einem geschlossenen Vertrag steht, dem Verbraucher keine höhere Kosten auferlegt werden als jene Kosten, die eine gewöhnliche Rufnummer verursachen würde.</w:t>
      </w:r>
    </w:p>
    <w:p w:rsidR="00CA5D55" w:rsidRDefault="00CA5D55" w:rsidP="00CA5D55">
      <w:pPr>
        <w:spacing w:after="0" w:line="360" w:lineRule="auto"/>
        <w:jc w:val="both"/>
        <w:rPr>
          <w:rFonts w:cs="Arial"/>
          <w:lang w:eastAsia="de-DE"/>
        </w:rPr>
      </w:pPr>
    </w:p>
    <w:p w:rsidR="00CA5D55" w:rsidRDefault="00CA5D55" w:rsidP="00CA5D55">
      <w:pPr>
        <w:spacing w:after="0" w:line="360" w:lineRule="auto"/>
        <w:jc w:val="both"/>
        <w:rPr>
          <w:rFonts w:cs="Arial"/>
          <w:lang w:eastAsia="de-DE"/>
        </w:rPr>
      </w:pPr>
    </w:p>
    <w:p w:rsidR="00CA1971" w:rsidRPr="00CF6856" w:rsidRDefault="00CA1971" w:rsidP="00CA1971">
      <w:pPr>
        <w:spacing w:after="0" w:line="240" w:lineRule="auto"/>
        <w:jc w:val="both"/>
        <w:rPr>
          <w:rFonts w:cs="Arial"/>
          <w:sz w:val="20"/>
        </w:rPr>
      </w:pPr>
      <w:r w:rsidRPr="00CF6856">
        <w:rPr>
          <w:rFonts w:cs="Arial"/>
          <w:sz w:val="20"/>
        </w:rPr>
        <w:t>Der Autor ist Mitglied der Deutschen Anwalts- und Steuerberatervereinigung für die mittelständische Wirtschaft e.V.</w:t>
      </w:r>
    </w:p>
    <w:p w:rsidR="00CA1971" w:rsidRPr="00CF6856" w:rsidRDefault="00CA1971" w:rsidP="00CA1971">
      <w:pPr>
        <w:spacing w:after="0" w:line="240" w:lineRule="auto"/>
        <w:jc w:val="center"/>
        <w:rPr>
          <w:rFonts w:cs="Arial"/>
          <w:sz w:val="20"/>
        </w:rPr>
      </w:pPr>
    </w:p>
    <w:p w:rsidR="00CA1971" w:rsidRPr="00CF6856" w:rsidRDefault="00CA1971" w:rsidP="00CA1971">
      <w:pPr>
        <w:spacing w:after="0" w:line="240" w:lineRule="auto"/>
        <w:jc w:val="both"/>
        <w:rPr>
          <w:rFonts w:cs="Arial"/>
          <w:sz w:val="20"/>
        </w:rPr>
      </w:pPr>
    </w:p>
    <w:p w:rsidR="00CA1971" w:rsidRPr="00CF6856" w:rsidRDefault="00CA1971" w:rsidP="00CA1971">
      <w:pPr>
        <w:spacing w:after="0" w:line="240" w:lineRule="auto"/>
        <w:jc w:val="both"/>
        <w:rPr>
          <w:rFonts w:cs="Arial"/>
          <w:sz w:val="20"/>
        </w:rPr>
      </w:pPr>
      <w:r>
        <w:rPr>
          <w:rFonts w:cs="Arial"/>
          <w:sz w:val="20"/>
        </w:rPr>
        <w:t>Für Rückfragen steht</w:t>
      </w:r>
      <w:r w:rsidRPr="00CF6856">
        <w:rPr>
          <w:rFonts w:cs="Arial"/>
          <w:sz w:val="20"/>
        </w:rPr>
        <w:t xml:space="preserve"> Ihnen </w:t>
      </w:r>
      <w:r>
        <w:rPr>
          <w:rFonts w:cs="Arial"/>
          <w:sz w:val="20"/>
        </w:rPr>
        <w:t>der Autor</w:t>
      </w:r>
      <w:r w:rsidRPr="00CF6856">
        <w:rPr>
          <w:rFonts w:cs="Arial"/>
          <w:sz w:val="20"/>
        </w:rPr>
        <w:t xml:space="preserve"> gerne zur Verfügung</w:t>
      </w:r>
    </w:p>
    <w:p w:rsidR="00CA1971" w:rsidRPr="00CF6856" w:rsidRDefault="00CA1971" w:rsidP="00CA1971">
      <w:pPr>
        <w:spacing w:after="0" w:line="240" w:lineRule="auto"/>
        <w:jc w:val="both"/>
        <w:rPr>
          <w:rFonts w:cs="Arial"/>
          <w:sz w:val="20"/>
        </w:rPr>
      </w:pPr>
    </w:p>
    <w:p w:rsidR="00CA1971" w:rsidRPr="00CF6856" w:rsidRDefault="00CA1971" w:rsidP="00CA1971">
      <w:pPr>
        <w:spacing w:after="0" w:line="240" w:lineRule="auto"/>
        <w:jc w:val="both"/>
        <w:rPr>
          <w:rFonts w:cs="Arial"/>
          <w:sz w:val="20"/>
        </w:rPr>
      </w:pPr>
      <w:r w:rsidRPr="00CF6856">
        <w:rPr>
          <w:rFonts w:cs="Arial"/>
          <w:sz w:val="20"/>
        </w:rPr>
        <w:t>Rechtsanwalt Manfred Wagner</w:t>
      </w:r>
    </w:p>
    <w:p w:rsidR="00CA1971" w:rsidRPr="00CF6856" w:rsidRDefault="00CA1971" w:rsidP="00CA1971">
      <w:pPr>
        <w:spacing w:after="0" w:line="240" w:lineRule="auto"/>
        <w:jc w:val="both"/>
        <w:rPr>
          <w:rFonts w:cs="Arial"/>
          <w:b/>
          <w:bCs/>
          <w:sz w:val="20"/>
        </w:rPr>
      </w:pPr>
      <w:r w:rsidRPr="00CF6856">
        <w:rPr>
          <w:rFonts w:cs="Arial"/>
          <w:sz w:val="20"/>
        </w:rPr>
        <w:t>WAGNER Rechtsanwälte</w:t>
      </w:r>
      <w:r w:rsidRPr="00CF6856">
        <w:rPr>
          <w:rFonts w:cs="Arial"/>
          <w:b/>
          <w:bCs/>
          <w:sz w:val="20"/>
        </w:rPr>
        <w:t xml:space="preserve"> </w:t>
      </w:r>
    </w:p>
    <w:p w:rsidR="00CA1971" w:rsidRPr="00CF6856" w:rsidRDefault="00CA1971" w:rsidP="00CA1971">
      <w:pPr>
        <w:spacing w:after="0" w:line="240" w:lineRule="auto"/>
        <w:jc w:val="both"/>
        <w:rPr>
          <w:rFonts w:cs="Arial"/>
          <w:sz w:val="20"/>
        </w:rPr>
      </w:pPr>
      <w:r w:rsidRPr="00CF6856">
        <w:rPr>
          <w:rFonts w:cs="Arial"/>
          <w:sz w:val="20"/>
        </w:rPr>
        <w:t>Großherzog-Friedrich-Str. 40</w:t>
      </w:r>
    </w:p>
    <w:p w:rsidR="00CA1971" w:rsidRPr="00CF6856" w:rsidRDefault="00CA1971" w:rsidP="00CA1971">
      <w:pPr>
        <w:spacing w:after="0" w:line="240" w:lineRule="auto"/>
        <w:jc w:val="both"/>
        <w:rPr>
          <w:rFonts w:cs="Arial"/>
          <w:sz w:val="20"/>
        </w:rPr>
      </w:pPr>
      <w:r w:rsidRPr="00CF6856">
        <w:rPr>
          <w:rFonts w:cs="Arial"/>
          <w:sz w:val="20"/>
        </w:rPr>
        <w:t>66111 Saarbrücken</w:t>
      </w:r>
    </w:p>
    <w:p w:rsidR="00CA1971" w:rsidRPr="00CF6856" w:rsidRDefault="00CA1971" w:rsidP="00CA1971">
      <w:pPr>
        <w:spacing w:after="0" w:line="240" w:lineRule="auto"/>
        <w:jc w:val="both"/>
        <w:rPr>
          <w:rFonts w:cs="Arial"/>
          <w:sz w:val="20"/>
        </w:rPr>
      </w:pPr>
    </w:p>
    <w:p w:rsidR="00CA1971" w:rsidRPr="00CF6856" w:rsidRDefault="00CA1971" w:rsidP="00CA1971">
      <w:pPr>
        <w:spacing w:after="0" w:line="240" w:lineRule="auto"/>
        <w:jc w:val="both"/>
        <w:rPr>
          <w:rFonts w:cs="Arial"/>
          <w:sz w:val="20"/>
        </w:rPr>
      </w:pPr>
      <w:r w:rsidRPr="00CF6856">
        <w:rPr>
          <w:rFonts w:cs="Arial"/>
          <w:sz w:val="20"/>
        </w:rPr>
        <w:t>Tel.: +49 (0) 681-95 82 82-0</w:t>
      </w:r>
      <w:r w:rsidRPr="00CF6856">
        <w:rPr>
          <w:rFonts w:cs="Arial"/>
          <w:sz w:val="20"/>
        </w:rPr>
        <w:tab/>
      </w:r>
      <w:r w:rsidRPr="00CF6856">
        <w:rPr>
          <w:rFonts w:cs="Arial"/>
          <w:sz w:val="20"/>
        </w:rPr>
        <w:tab/>
        <w:t>Fax: +49 (0) 681-95 82 82-10</w:t>
      </w:r>
    </w:p>
    <w:p w:rsidR="00CA1971" w:rsidRPr="00CF6856" w:rsidRDefault="00CA1971" w:rsidP="00CA1971">
      <w:pPr>
        <w:spacing w:after="0" w:line="240" w:lineRule="auto"/>
        <w:jc w:val="both"/>
        <w:rPr>
          <w:rFonts w:cs="Arial"/>
          <w:sz w:val="20"/>
        </w:rPr>
      </w:pPr>
      <w:r w:rsidRPr="00CF6856">
        <w:rPr>
          <w:rFonts w:cs="Arial"/>
          <w:sz w:val="20"/>
          <w:lang w:val="it-IT"/>
        </w:rPr>
        <w:t xml:space="preserve">E-Mail: </w:t>
      </w:r>
      <w:hyperlink r:id="rId7" w:tooltip="Öffnet ein Fenster zum E-Mail-Senden" w:history="1">
        <w:r w:rsidRPr="00CF6856">
          <w:rPr>
            <w:rFonts w:cs="Arial"/>
            <w:color w:val="0000FF"/>
            <w:sz w:val="20"/>
            <w:u w:val="single"/>
            <w:lang w:val="it-IT"/>
          </w:rPr>
          <w:t>wagner@webvocat.de</w:t>
        </w:r>
      </w:hyperlink>
      <w:r w:rsidRPr="00CF6856">
        <w:rPr>
          <w:rFonts w:cs="Arial"/>
          <w:sz w:val="20"/>
          <w:lang w:val="it-IT"/>
        </w:rPr>
        <w:tab/>
      </w:r>
      <w:r w:rsidRPr="00CF6856">
        <w:rPr>
          <w:rFonts w:cs="Arial"/>
          <w:sz w:val="20"/>
          <w:lang w:val="it-IT"/>
        </w:rPr>
        <w:tab/>
      </w:r>
      <w:hyperlink r:id="rId8" w:history="1">
        <w:r w:rsidRPr="00CF6856">
          <w:rPr>
            <w:rFonts w:cs="Arial"/>
            <w:color w:val="0000FF"/>
            <w:sz w:val="20"/>
            <w:u w:val="single"/>
            <w:lang w:val="it-IT"/>
          </w:rPr>
          <w:t>www.webvocat.de</w:t>
        </w:r>
      </w:hyperlink>
    </w:p>
    <w:p w:rsidR="00CA1971" w:rsidRDefault="00CA1971" w:rsidP="00CA1971">
      <w:pPr>
        <w:spacing w:after="0" w:line="240" w:lineRule="auto"/>
        <w:jc w:val="both"/>
        <w:rPr>
          <w:rFonts w:cs="Arial"/>
          <w:sz w:val="20"/>
          <w:szCs w:val="20"/>
        </w:rPr>
      </w:pPr>
    </w:p>
    <w:p w:rsidR="00D32887" w:rsidRDefault="00D32887" w:rsidP="00CA1971">
      <w:pPr>
        <w:spacing w:after="0" w:line="360" w:lineRule="auto"/>
        <w:jc w:val="both"/>
      </w:pPr>
    </w:p>
    <w:sectPr w:rsidR="00D32887">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D42" w:rsidRDefault="00ED4D42" w:rsidP="00CA5D55">
      <w:pPr>
        <w:spacing w:after="0" w:line="240" w:lineRule="auto"/>
      </w:pPr>
      <w:r>
        <w:separator/>
      </w:r>
    </w:p>
  </w:endnote>
  <w:endnote w:type="continuationSeparator" w:id="0">
    <w:p w:rsidR="00ED4D42" w:rsidRDefault="00ED4D42" w:rsidP="00CA5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altName w:val="Univers 57 Condensed"/>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D42" w:rsidRDefault="00ED4D42" w:rsidP="00CA5D55">
      <w:pPr>
        <w:spacing w:after="0" w:line="240" w:lineRule="auto"/>
      </w:pPr>
      <w:r>
        <w:separator/>
      </w:r>
    </w:p>
  </w:footnote>
  <w:footnote w:type="continuationSeparator" w:id="0">
    <w:p w:rsidR="00ED4D42" w:rsidRDefault="00ED4D42" w:rsidP="00CA5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D55" w:rsidRDefault="00CA5D55" w:rsidP="00CA5D55">
    <w:pPr>
      <w:pStyle w:val="Kopfzeile"/>
      <w:jc w:val="center"/>
    </w:pPr>
    <w:r w:rsidRPr="005F7271">
      <w:rPr>
        <w:rFonts w:cs="Arial"/>
        <w:b/>
        <w:bCs/>
        <w:sz w:val="28"/>
        <w:szCs w:val="28"/>
      </w:rPr>
      <w:t>mittelstandsdepesche 0</w:t>
    </w:r>
    <w:r>
      <w:rPr>
        <w:rFonts w:cs="Arial"/>
        <w:b/>
        <w:bCs/>
        <w:sz w:val="28"/>
        <w:szCs w:val="28"/>
      </w:rPr>
      <w:t>5</w:t>
    </w:r>
    <w:r w:rsidRPr="005F7271">
      <w:rPr>
        <w:rFonts w:cs="Arial"/>
        <w:b/>
        <w:bCs/>
        <w:sz w:val="28"/>
        <w:szCs w:val="28"/>
      </w:rPr>
      <w:t>-2017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F74"/>
    <w:rsid w:val="00140BF1"/>
    <w:rsid w:val="00385BF2"/>
    <w:rsid w:val="003B6F74"/>
    <w:rsid w:val="00475FD5"/>
    <w:rsid w:val="005F7271"/>
    <w:rsid w:val="009713FB"/>
    <w:rsid w:val="00A62806"/>
    <w:rsid w:val="00B94A82"/>
    <w:rsid w:val="00CA1971"/>
    <w:rsid w:val="00CA5D55"/>
    <w:rsid w:val="00CF6856"/>
    <w:rsid w:val="00D32887"/>
    <w:rsid w:val="00EC6D5D"/>
    <w:rsid w:val="00ED4D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80E0EF-BCA6-43F2-B2D3-581F30DC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1">
    <w:name w:val="heading 1"/>
    <w:basedOn w:val="Standard"/>
    <w:link w:val="berschrift1Zchn"/>
    <w:uiPriority w:val="9"/>
    <w:qFormat/>
    <w:rsid w:val="003B6F74"/>
    <w:pPr>
      <w:spacing w:before="100" w:beforeAutospacing="1" w:after="100" w:afterAutospacing="1" w:line="240" w:lineRule="auto"/>
      <w:outlineLvl w:val="0"/>
    </w:pPr>
    <w:rPr>
      <w:rFonts w:ascii="Times New Roman" w:hAnsi="Times New Roman"/>
      <w:b/>
      <w:bCs/>
      <w:kern w:val="36"/>
      <w:sz w:val="48"/>
      <w:szCs w:val="48"/>
      <w:lang w:eastAsia="de-DE"/>
    </w:rPr>
  </w:style>
  <w:style w:type="paragraph" w:styleId="berschrift2">
    <w:name w:val="heading 2"/>
    <w:basedOn w:val="Standard"/>
    <w:link w:val="berschrift2Zchn"/>
    <w:uiPriority w:val="9"/>
    <w:qFormat/>
    <w:rsid w:val="003B6F74"/>
    <w:pPr>
      <w:spacing w:before="100" w:beforeAutospacing="1" w:after="100" w:afterAutospacing="1" w:line="240" w:lineRule="auto"/>
      <w:outlineLvl w:val="1"/>
    </w:pPr>
    <w:rPr>
      <w:rFonts w:ascii="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3B6F74"/>
    <w:rPr>
      <w:rFonts w:ascii="Times New Roman" w:hAnsi="Times New Roman" w:cs="Times New Roman"/>
      <w:b/>
      <w:bCs/>
      <w:kern w:val="36"/>
      <w:sz w:val="48"/>
      <w:szCs w:val="48"/>
      <w:lang w:val="x-none" w:eastAsia="de-DE"/>
    </w:rPr>
  </w:style>
  <w:style w:type="character" w:customStyle="1" w:styleId="berschrift2Zchn">
    <w:name w:val="Überschrift 2 Zchn"/>
    <w:basedOn w:val="Absatz-Standardschriftart"/>
    <w:link w:val="berschrift2"/>
    <w:uiPriority w:val="9"/>
    <w:locked/>
    <w:rsid w:val="003B6F74"/>
    <w:rPr>
      <w:rFonts w:ascii="Times New Roman" w:hAnsi="Times New Roman" w:cs="Times New Roman"/>
      <w:b/>
      <w:bCs/>
      <w:sz w:val="36"/>
      <w:szCs w:val="36"/>
      <w:lang w:val="x-none" w:eastAsia="de-DE"/>
    </w:rPr>
  </w:style>
  <w:style w:type="character" w:customStyle="1" w:styleId="news-single-date">
    <w:name w:val="news-single-date"/>
    <w:basedOn w:val="Absatz-Standardschriftart"/>
    <w:rsid w:val="003B6F74"/>
    <w:rPr>
      <w:rFonts w:cs="Times New Roman"/>
    </w:rPr>
  </w:style>
  <w:style w:type="character" w:styleId="Hyperlink">
    <w:name w:val="Hyperlink"/>
    <w:basedOn w:val="Absatz-Standardschriftart"/>
    <w:uiPriority w:val="99"/>
    <w:semiHidden/>
    <w:unhideWhenUsed/>
    <w:rsid w:val="003B6F74"/>
    <w:rPr>
      <w:rFonts w:cs="Times New Roman"/>
      <w:color w:val="0000FF"/>
      <w:u w:val="single"/>
    </w:rPr>
  </w:style>
  <w:style w:type="paragraph" w:styleId="StandardWeb">
    <w:name w:val="Normal (Web)"/>
    <w:basedOn w:val="Standard"/>
    <w:uiPriority w:val="99"/>
    <w:semiHidden/>
    <w:unhideWhenUsed/>
    <w:rsid w:val="003B6F74"/>
    <w:pPr>
      <w:spacing w:before="100" w:beforeAutospacing="1" w:after="100" w:afterAutospacing="1" w:line="240" w:lineRule="auto"/>
    </w:pPr>
    <w:rPr>
      <w:rFonts w:ascii="Times New Roman" w:hAnsi="Times New Roman"/>
      <w:sz w:val="24"/>
      <w:szCs w:val="24"/>
      <w:lang w:eastAsia="de-DE"/>
    </w:rPr>
  </w:style>
  <w:style w:type="paragraph" w:customStyle="1" w:styleId="align-justify">
    <w:name w:val="align-justify"/>
    <w:basedOn w:val="Standard"/>
    <w:rsid w:val="003B6F74"/>
    <w:pPr>
      <w:spacing w:before="100" w:beforeAutospacing="1" w:after="100" w:afterAutospacing="1" w:line="240" w:lineRule="auto"/>
    </w:pPr>
    <w:rPr>
      <w:rFonts w:ascii="Times New Roman" w:hAnsi="Times New Roman"/>
      <w:sz w:val="24"/>
      <w:szCs w:val="24"/>
      <w:lang w:eastAsia="de-DE"/>
    </w:rPr>
  </w:style>
  <w:style w:type="paragraph" w:styleId="Kopfzeile">
    <w:name w:val="header"/>
    <w:basedOn w:val="Standard"/>
    <w:link w:val="KopfzeileZchn"/>
    <w:uiPriority w:val="99"/>
    <w:unhideWhenUsed/>
    <w:rsid w:val="00CA5D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CA5D55"/>
    <w:rPr>
      <w:rFonts w:cs="Times New Roman"/>
    </w:rPr>
  </w:style>
  <w:style w:type="paragraph" w:styleId="Fuzeile">
    <w:name w:val="footer"/>
    <w:basedOn w:val="Standard"/>
    <w:link w:val="FuzeileZchn"/>
    <w:uiPriority w:val="99"/>
    <w:unhideWhenUsed/>
    <w:rsid w:val="00CA5D55"/>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CA5D5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778605">
      <w:marLeft w:val="0"/>
      <w:marRight w:val="0"/>
      <w:marTop w:val="0"/>
      <w:marBottom w:val="0"/>
      <w:divBdr>
        <w:top w:val="none" w:sz="0" w:space="0" w:color="auto"/>
        <w:left w:val="none" w:sz="0" w:space="0" w:color="auto"/>
        <w:bottom w:val="none" w:sz="0" w:space="0" w:color="auto"/>
        <w:right w:val="none" w:sz="0" w:space="0" w:color="auto"/>
      </w:divBdr>
      <w:divsChild>
        <w:div w:id="1648778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vocat.de/" TargetMode="External"/><Relationship Id="rId3" Type="http://schemas.openxmlformats.org/officeDocument/2006/relationships/webSettings" Target="webSettings.xml"/><Relationship Id="rId7" Type="http://schemas.openxmlformats.org/officeDocument/2006/relationships/hyperlink" Target="mailto:wagner@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jure.org/dienste/vernetzung/rechtsprechung?Text=C-568/1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3781428F.dotm</Template>
  <TotalTime>0</TotalTime>
  <Pages>2</Pages>
  <Words>442</Words>
  <Characters>2786</Characters>
  <Application>Microsoft Office Word</Application>
  <DocSecurity>0</DocSecurity>
  <Lines>23</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2017-05-31T08:04:00Z</dcterms:created>
  <dcterms:modified xsi:type="dcterms:W3CDTF">2017-05-31T08:04:00Z</dcterms:modified>
</cp:coreProperties>
</file>