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2E59" w:rsidRPr="00DE2E59" w:rsidRDefault="00DE2E59" w:rsidP="00DE2E59">
      <w:pPr>
        <w:tabs>
          <w:tab w:val="center" w:pos="4536"/>
          <w:tab w:val="right" w:pos="9072"/>
        </w:tabs>
        <w:spacing w:after="0" w:line="240" w:lineRule="auto"/>
        <w:jc w:val="right"/>
        <w:rPr>
          <w:rFonts w:ascii="Calibri" w:hAnsi="Calibri" w:cs="Calibri"/>
          <w:sz w:val="24"/>
          <w:szCs w:val="24"/>
          <w:lang w:val="en-US" w:eastAsia="de-DE"/>
        </w:rPr>
      </w:pPr>
      <w:bookmarkStart w:id="0" w:name="_GoBack"/>
      <w:bookmarkEnd w:id="0"/>
      <w:r w:rsidRPr="00DE2E59">
        <w:rPr>
          <w:rFonts w:cs="Arial"/>
          <w:b/>
          <w:bCs/>
          <w:sz w:val="40"/>
          <w:szCs w:val="40"/>
          <w:lang w:val="en-US" w:eastAsia="de-DE"/>
        </w:rPr>
        <w:t>DASV</w:t>
      </w:r>
    </w:p>
    <w:p w:rsidR="00DE2E59" w:rsidRPr="00DE2E59" w:rsidRDefault="00DE2E59" w:rsidP="00DE2E59">
      <w:pPr>
        <w:spacing w:after="0" w:line="240" w:lineRule="auto"/>
        <w:jc w:val="right"/>
        <w:rPr>
          <w:rFonts w:cs="Arial"/>
          <w:sz w:val="20"/>
          <w:szCs w:val="20"/>
          <w:lang w:val="en-US" w:eastAsia="de-DE"/>
        </w:rPr>
      </w:pPr>
      <w:bookmarkStart w:id="1" w:name="2"/>
      <w:bookmarkStart w:id="2" w:name="9"/>
      <w:bookmarkEnd w:id="1"/>
      <w:bookmarkEnd w:id="2"/>
      <w:r w:rsidRPr="00DE2E59">
        <w:rPr>
          <w:rFonts w:cs="Arial"/>
          <w:sz w:val="20"/>
          <w:szCs w:val="20"/>
          <w:lang w:val="en-US" w:eastAsia="de-DE"/>
        </w:rPr>
        <w:t>Deutsche Anwalts- und</w:t>
      </w:r>
    </w:p>
    <w:p w:rsidR="00DE2E59" w:rsidRPr="00DE2E59" w:rsidRDefault="00DE2E59" w:rsidP="00DE2E59">
      <w:pPr>
        <w:spacing w:after="0" w:line="240" w:lineRule="auto"/>
        <w:jc w:val="right"/>
        <w:rPr>
          <w:rFonts w:cs="Arial"/>
          <w:sz w:val="20"/>
          <w:szCs w:val="20"/>
          <w:lang w:val="en-US" w:eastAsia="de-DE"/>
        </w:rPr>
      </w:pPr>
      <w:r w:rsidRPr="00DE2E59">
        <w:rPr>
          <w:rFonts w:cs="Arial"/>
          <w:sz w:val="20"/>
          <w:szCs w:val="20"/>
          <w:lang w:val="en-US" w:eastAsia="de-DE"/>
        </w:rPr>
        <w:t>Steuerberatervereinigung</w:t>
      </w:r>
    </w:p>
    <w:p w:rsidR="00DE2E59" w:rsidRPr="00DE2E59" w:rsidRDefault="00DE2E59" w:rsidP="00DE2E59">
      <w:pPr>
        <w:spacing w:after="0" w:line="240" w:lineRule="auto"/>
        <w:jc w:val="right"/>
        <w:rPr>
          <w:rFonts w:cs="Arial"/>
          <w:sz w:val="20"/>
          <w:szCs w:val="20"/>
          <w:lang w:val="en-US" w:eastAsia="de-DE"/>
        </w:rPr>
      </w:pPr>
      <w:r w:rsidRPr="00DE2E59">
        <w:rPr>
          <w:rFonts w:cs="Arial"/>
          <w:sz w:val="20"/>
          <w:szCs w:val="20"/>
          <w:lang w:val="en-US" w:eastAsia="de-DE"/>
        </w:rPr>
        <w:t>für die mittelständische</w:t>
      </w:r>
    </w:p>
    <w:p w:rsidR="00DE2E59" w:rsidRPr="00DE2E59" w:rsidRDefault="00DE2E59" w:rsidP="00DE2E59">
      <w:pPr>
        <w:spacing w:after="0" w:line="240" w:lineRule="auto"/>
        <w:jc w:val="right"/>
        <w:rPr>
          <w:rFonts w:cs="Arial"/>
          <w:sz w:val="20"/>
          <w:szCs w:val="20"/>
          <w:lang w:val="en-US" w:eastAsia="de-DE"/>
        </w:rPr>
      </w:pPr>
      <w:r w:rsidRPr="00DE2E59">
        <w:rPr>
          <w:rFonts w:cs="Arial"/>
          <w:sz w:val="20"/>
          <w:szCs w:val="20"/>
          <w:lang w:val="en-US" w:eastAsia="de-DE"/>
        </w:rPr>
        <w:t>Wirtschaft e. V.</w:t>
      </w:r>
    </w:p>
    <w:p w:rsidR="00261ED2" w:rsidRDefault="00261ED2" w:rsidP="00DE2E59">
      <w:pPr>
        <w:spacing w:after="0" w:line="360" w:lineRule="auto"/>
        <w:outlineLvl w:val="0"/>
        <w:rPr>
          <w:rFonts w:cs="Arial"/>
          <w:b/>
          <w:bCs/>
          <w:kern w:val="36"/>
          <w:lang w:eastAsia="de-DE"/>
        </w:rPr>
      </w:pPr>
      <w:r w:rsidRPr="00DE2E59">
        <w:rPr>
          <w:rFonts w:cs="Arial"/>
          <w:b/>
          <w:bCs/>
          <w:kern w:val="36"/>
          <w:lang w:eastAsia="de-DE"/>
        </w:rPr>
        <w:t>Geld zurück bei Unternehmerdarlehen: Formularmäßig vereinbarte</w:t>
      </w:r>
      <w:r w:rsidR="00DE2E59">
        <w:rPr>
          <w:rFonts w:cs="Arial"/>
          <w:b/>
          <w:bCs/>
          <w:kern w:val="36"/>
          <w:lang w:eastAsia="de-DE"/>
        </w:rPr>
        <w:t xml:space="preserve"> Bearbeitungsentgelte unwirksam</w:t>
      </w:r>
    </w:p>
    <w:p w:rsidR="00DE2E59" w:rsidRPr="00DE2E59" w:rsidRDefault="00DE2E59" w:rsidP="00DE2E59">
      <w:pPr>
        <w:spacing w:after="0" w:line="360" w:lineRule="auto"/>
        <w:outlineLvl w:val="0"/>
        <w:rPr>
          <w:rFonts w:cs="Arial"/>
          <w:bCs/>
          <w:kern w:val="36"/>
          <w:lang w:eastAsia="de-DE"/>
        </w:rPr>
      </w:pPr>
    </w:p>
    <w:p w:rsidR="00DE2E59" w:rsidRPr="00104831" w:rsidRDefault="00DE2E59" w:rsidP="00DE2E59">
      <w:pPr>
        <w:spacing w:after="0" w:line="360" w:lineRule="auto"/>
        <w:jc w:val="both"/>
        <w:outlineLvl w:val="0"/>
        <w:rPr>
          <w:rFonts w:cs="Arial"/>
          <w:bCs/>
          <w:kern w:val="36"/>
          <w:lang w:eastAsia="de-DE"/>
        </w:rPr>
      </w:pPr>
      <w:r w:rsidRPr="00104831">
        <w:rPr>
          <w:rFonts w:cs="Arial"/>
          <w:bCs/>
          <w:kern w:val="36"/>
          <w:lang w:eastAsia="de-DE"/>
        </w:rPr>
        <w:t>ein Artikel von Rechtsanwalt, Fachanwalt für Steuerrecht und Fachanwalt für Handels- und Gesellschaftsrecht Arnd Lackner, Saarbrücken</w:t>
      </w:r>
    </w:p>
    <w:p w:rsidR="00DE2E59" w:rsidRPr="00DE2E59" w:rsidRDefault="00DE2E59" w:rsidP="00DE2E59">
      <w:pPr>
        <w:spacing w:after="0" w:line="360" w:lineRule="auto"/>
        <w:outlineLvl w:val="0"/>
        <w:rPr>
          <w:rFonts w:cs="Arial"/>
          <w:bCs/>
          <w:kern w:val="36"/>
          <w:lang w:eastAsia="de-DE"/>
        </w:rPr>
      </w:pPr>
    </w:p>
    <w:p w:rsidR="00261ED2" w:rsidRDefault="00261ED2" w:rsidP="00DE2E59">
      <w:pPr>
        <w:spacing w:after="0" w:line="360" w:lineRule="auto"/>
        <w:outlineLvl w:val="1"/>
        <w:rPr>
          <w:rFonts w:cs="Arial"/>
          <w:b/>
          <w:bCs/>
          <w:lang w:eastAsia="de-DE"/>
        </w:rPr>
      </w:pPr>
      <w:r w:rsidRPr="00DE2E59">
        <w:rPr>
          <w:rFonts w:cs="Arial"/>
          <w:b/>
          <w:bCs/>
          <w:lang w:eastAsia="de-DE"/>
        </w:rPr>
        <w:t>Eine aktuelle Rechtsentwicklung, die fast alle mittelständischen Unternehmer betrifft, kommt nicht alle Tage vor.</w:t>
      </w:r>
    </w:p>
    <w:p w:rsidR="00DE2E59" w:rsidRPr="00DE2E59" w:rsidRDefault="00DE2E59" w:rsidP="00DE2E59">
      <w:pPr>
        <w:spacing w:after="0" w:line="360" w:lineRule="auto"/>
        <w:outlineLvl w:val="1"/>
        <w:rPr>
          <w:rFonts w:cs="Arial"/>
          <w:b/>
          <w:bCs/>
          <w:lang w:eastAsia="de-DE"/>
        </w:rPr>
      </w:pPr>
    </w:p>
    <w:p w:rsidR="00DE2E59" w:rsidRDefault="00261ED2" w:rsidP="00DE2E59">
      <w:pPr>
        <w:spacing w:after="0" w:line="360" w:lineRule="auto"/>
        <w:jc w:val="both"/>
        <w:rPr>
          <w:rFonts w:cs="Arial"/>
          <w:lang w:eastAsia="de-DE"/>
        </w:rPr>
      </w:pPr>
      <w:r w:rsidRPr="00DE2E59">
        <w:rPr>
          <w:rFonts w:cs="Arial"/>
          <w:lang w:eastAsia="de-DE"/>
        </w:rPr>
        <w:t xml:space="preserve">Der Bundesgerichtshof hat hierzu am 4. Juli 2017 in zwei Verfahren entschieden, dass die von den Banken vorformulierten Bestimmungen über ein laufzeitunabhängiges Bearbeitungsentgelt in Darlehensverträgen, die zwischen Kreditinstituten und Unternehmern geschlossen wurden, unwirksam sind (BGH, Urteile vom 4. Juli 2017 – </w:t>
      </w:r>
      <w:hyperlink r:id="rId7" w:tgtFrame="_blank" w:tooltip="BGH, 04.07.2017 - XI ZR 562/15: Zur Zulässigkeit formularmäßig vereinbarter Bearbeitungsentgelt..." w:history="1">
        <w:r w:rsidRPr="00DE2E59">
          <w:rPr>
            <w:rFonts w:cs="Arial"/>
            <w:lang w:eastAsia="de-DE"/>
          </w:rPr>
          <w:t>XI ZR 562/15</w:t>
        </w:r>
      </w:hyperlink>
      <w:r w:rsidRPr="00DE2E59">
        <w:rPr>
          <w:rFonts w:cs="Arial"/>
          <w:lang w:eastAsia="de-DE"/>
        </w:rPr>
        <w:t xml:space="preserve">, </w:t>
      </w:r>
      <w:hyperlink r:id="rId8" w:tgtFrame="_blank" w:tooltip="BGH, 04.07.2017 - XI ZR 233/16: Zur Zulässigkeit formularmäßig vereinbarter Bearbeitungsentgelt..." w:history="1">
        <w:r w:rsidRPr="00DE2E59">
          <w:rPr>
            <w:rFonts w:cs="Arial"/>
            <w:lang w:eastAsia="de-DE"/>
          </w:rPr>
          <w:t>XI ZR 233/16</w:t>
        </w:r>
      </w:hyperlink>
      <w:r w:rsidRPr="00DE2E59">
        <w:rPr>
          <w:rFonts w:cs="Arial"/>
          <w:lang w:eastAsia="de-DE"/>
        </w:rPr>
        <w:t>).</w:t>
      </w:r>
    </w:p>
    <w:p w:rsidR="00DE2E59" w:rsidRDefault="00DE2E59" w:rsidP="00DE2E59">
      <w:pPr>
        <w:spacing w:after="0" w:line="360" w:lineRule="auto"/>
        <w:jc w:val="both"/>
        <w:rPr>
          <w:rFonts w:cs="Arial"/>
          <w:lang w:eastAsia="de-DE"/>
        </w:rPr>
      </w:pPr>
    </w:p>
    <w:p w:rsidR="00DE2E59" w:rsidRDefault="00261ED2" w:rsidP="00DE2E59">
      <w:pPr>
        <w:spacing w:after="0" w:line="360" w:lineRule="auto"/>
        <w:jc w:val="both"/>
        <w:rPr>
          <w:rFonts w:cs="Arial"/>
          <w:lang w:eastAsia="de-DE"/>
        </w:rPr>
      </w:pPr>
      <w:r w:rsidRPr="00DE2E59">
        <w:rPr>
          <w:rFonts w:cs="Arial"/>
          <w:lang w:eastAsia="de-DE"/>
        </w:rPr>
        <w:t>Diese Urteile haben zur Folge, dass betroffene Unternehmer in vielen Fällen die für ihr Unternehmerdarlehen gezahlten Bearbeitungsgebühren von den Kreditinstituten zurückfordern können.</w:t>
      </w:r>
    </w:p>
    <w:p w:rsidR="00DE2E59" w:rsidRDefault="00DE2E59" w:rsidP="00DE2E59">
      <w:pPr>
        <w:spacing w:after="0" w:line="360" w:lineRule="auto"/>
        <w:jc w:val="both"/>
        <w:rPr>
          <w:rFonts w:cs="Arial"/>
          <w:lang w:eastAsia="de-DE"/>
        </w:rPr>
      </w:pPr>
    </w:p>
    <w:p w:rsidR="00DE2E59" w:rsidRDefault="00261ED2" w:rsidP="00DE2E59">
      <w:pPr>
        <w:spacing w:after="0" w:line="360" w:lineRule="auto"/>
        <w:jc w:val="both"/>
        <w:rPr>
          <w:rFonts w:cs="Arial"/>
          <w:b/>
          <w:bCs/>
          <w:lang w:eastAsia="de-DE"/>
        </w:rPr>
      </w:pPr>
      <w:r w:rsidRPr="00DE2E59">
        <w:rPr>
          <w:rFonts w:cs="Arial"/>
          <w:b/>
          <w:bCs/>
          <w:lang w:eastAsia="de-DE"/>
        </w:rPr>
        <w:t>Fazit:</w:t>
      </w:r>
    </w:p>
    <w:p w:rsidR="00DE2E59" w:rsidRDefault="00261ED2" w:rsidP="00DE2E59">
      <w:pPr>
        <w:spacing w:after="0" w:line="360" w:lineRule="auto"/>
        <w:jc w:val="both"/>
        <w:rPr>
          <w:rFonts w:cs="Arial"/>
          <w:lang w:eastAsia="de-DE"/>
        </w:rPr>
      </w:pPr>
      <w:r w:rsidRPr="00DE2E59">
        <w:rPr>
          <w:rFonts w:cs="Arial"/>
          <w:lang w:eastAsia="de-DE"/>
        </w:rPr>
        <w:t>Da insbesondere für Altfälle die Verjährung der Rückforderungsansprüche droht, ist besondere Eile geboten, um die von den Kreditinstituten vereinnahmten Entgelte im jeweiligen Einzelfall zurückholen zu können.</w:t>
      </w:r>
    </w:p>
    <w:p w:rsidR="00DE2E59" w:rsidRDefault="00DE2E59" w:rsidP="00DE2E59">
      <w:pPr>
        <w:spacing w:after="0" w:line="360" w:lineRule="auto"/>
        <w:jc w:val="both"/>
        <w:rPr>
          <w:rFonts w:cs="Arial"/>
          <w:sz w:val="20"/>
          <w:szCs w:val="20"/>
          <w:lang w:eastAsia="de-DE"/>
        </w:rPr>
      </w:pPr>
    </w:p>
    <w:p w:rsidR="00DE2E59" w:rsidRPr="00CF6856" w:rsidRDefault="00DE2E59" w:rsidP="00DE2E59">
      <w:pPr>
        <w:spacing w:after="0" w:line="240" w:lineRule="auto"/>
        <w:jc w:val="both"/>
        <w:rPr>
          <w:rFonts w:cs="Arial"/>
          <w:sz w:val="20"/>
          <w:szCs w:val="20"/>
        </w:rPr>
      </w:pPr>
      <w:r w:rsidRPr="00CF6856">
        <w:rPr>
          <w:rFonts w:cs="Arial"/>
          <w:sz w:val="20"/>
          <w:szCs w:val="20"/>
        </w:rPr>
        <w:t>Der Autor ist Mitglied der Deutschen Anwalts- und Steuerberatervereinigung für die mittelständische Wirtschaft e.V.</w:t>
      </w:r>
    </w:p>
    <w:p w:rsidR="00DE2E59" w:rsidRPr="00CF6856" w:rsidRDefault="00DE2E59" w:rsidP="00DE2E59">
      <w:pPr>
        <w:tabs>
          <w:tab w:val="left" w:pos="3285"/>
        </w:tabs>
        <w:spacing w:after="0" w:line="240" w:lineRule="auto"/>
        <w:jc w:val="both"/>
        <w:rPr>
          <w:rFonts w:cs="Arial"/>
          <w:sz w:val="20"/>
          <w:szCs w:val="20"/>
        </w:rPr>
      </w:pPr>
      <w:r>
        <w:rPr>
          <w:rFonts w:cs="Arial"/>
          <w:sz w:val="20"/>
          <w:szCs w:val="20"/>
        </w:rPr>
        <w:tab/>
      </w:r>
    </w:p>
    <w:p w:rsidR="00DE2E59" w:rsidRPr="00CF6856" w:rsidRDefault="00DE2E59" w:rsidP="00DE2E59">
      <w:pPr>
        <w:spacing w:after="0" w:line="240" w:lineRule="auto"/>
        <w:jc w:val="both"/>
        <w:rPr>
          <w:rFonts w:cs="Arial"/>
          <w:sz w:val="20"/>
          <w:szCs w:val="20"/>
        </w:rPr>
      </w:pPr>
    </w:p>
    <w:p w:rsidR="00DE2E59" w:rsidRPr="00CF6856" w:rsidRDefault="00DE2E59" w:rsidP="00DE2E59">
      <w:pPr>
        <w:spacing w:after="0" w:line="240" w:lineRule="auto"/>
        <w:jc w:val="both"/>
        <w:rPr>
          <w:rFonts w:cs="Arial"/>
          <w:sz w:val="20"/>
          <w:szCs w:val="20"/>
        </w:rPr>
      </w:pPr>
      <w:r w:rsidRPr="00CF6856">
        <w:rPr>
          <w:rFonts w:cs="Arial"/>
          <w:sz w:val="20"/>
          <w:szCs w:val="20"/>
        </w:rPr>
        <w:t>Für Rückfragen steht Ihnen der Autor gerne zur Verfügung</w:t>
      </w:r>
    </w:p>
    <w:p w:rsidR="00DE2E59" w:rsidRPr="00CF6856" w:rsidRDefault="00DE2E59" w:rsidP="00DE2E59">
      <w:pPr>
        <w:spacing w:after="0" w:line="240" w:lineRule="auto"/>
        <w:jc w:val="both"/>
        <w:rPr>
          <w:rFonts w:cs="Arial"/>
          <w:sz w:val="20"/>
          <w:szCs w:val="20"/>
        </w:rPr>
      </w:pPr>
    </w:p>
    <w:p w:rsidR="00DE2E59" w:rsidRPr="00CF6856" w:rsidRDefault="00DE2E59" w:rsidP="00DE2E59">
      <w:pPr>
        <w:spacing w:after="0" w:line="240" w:lineRule="auto"/>
        <w:jc w:val="both"/>
        <w:rPr>
          <w:rFonts w:cs="Arial"/>
          <w:sz w:val="20"/>
          <w:szCs w:val="20"/>
        </w:rPr>
      </w:pPr>
      <w:r>
        <w:rPr>
          <w:rFonts w:cs="Arial"/>
          <w:sz w:val="20"/>
          <w:szCs w:val="20"/>
        </w:rPr>
        <w:t>Rechtsanwalt</w:t>
      </w:r>
    </w:p>
    <w:p w:rsidR="00DE2E59" w:rsidRPr="00CF6856" w:rsidRDefault="00DE2E59" w:rsidP="00DE2E59">
      <w:pPr>
        <w:spacing w:after="0" w:line="240" w:lineRule="auto"/>
        <w:jc w:val="both"/>
        <w:rPr>
          <w:rFonts w:cs="Arial"/>
          <w:sz w:val="20"/>
          <w:szCs w:val="20"/>
        </w:rPr>
      </w:pPr>
      <w:r w:rsidRPr="00CF6856">
        <w:rPr>
          <w:rFonts w:cs="Arial"/>
          <w:sz w:val="20"/>
          <w:szCs w:val="20"/>
        </w:rPr>
        <w:t>Arnd Lackner</w:t>
      </w:r>
    </w:p>
    <w:p w:rsidR="00DE2E59" w:rsidRDefault="00DE2E59" w:rsidP="00DE2E59">
      <w:pPr>
        <w:spacing w:after="0" w:line="240" w:lineRule="auto"/>
        <w:jc w:val="both"/>
        <w:rPr>
          <w:rFonts w:cs="Arial"/>
          <w:bCs/>
          <w:sz w:val="20"/>
          <w:szCs w:val="20"/>
        </w:rPr>
      </w:pPr>
      <w:r w:rsidRPr="003C614B">
        <w:rPr>
          <w:rFonts w:cs="Arial"/>
          <w:bCs/>
          <w:sz w:val="20"/>
          <w:szCs w:val="20"/>
        </w:rPr>
        <w:t>Fachanwalt für Ste</w:t>
      </w:r>
      <w:r>
        <w:rPr>
          <w:rFonts w:cs="Arial"/>
          <w:bCs/>
          <w:sz w:val="20"/>
          <w:szCs w:val="20"/>
        </w:rPr>
        <w:t xml:space="preserve">uerrecht </w:t>
      </w:r>
    </w:p>
    <w:p w:rsidR="00DE2E59" w:rsidRPr="00CF6856" w:rsidRDefault="00DE2E59" w:rsidP="00DE2E59">
      <w:pPr>
        <w:spacing w:after="0" w:line="240" w:lineRule="auto"/>
        <w:jc w:val="both"/>
        <w:rPr>
          <w:rFonts w:cs="Arial"/>
          <w:sz w:val="20"/>
          <w:szCs w:val="20"/>
        </w:rPr>
      </w:pPr>
      <w:r w:rsidRPr="003C614B">
        <w:rPr>
          <w:rFonts w:cs="Arial"/>
          <w:bCs/>
          <w:sz w:val="20"/>
          <w:szCs w:val="20"/>
        </w:rPr>
        <w:t>Fachanwalt für Handels- und Gesellschaftsrecht</w:t>
      </w:r>
    </w:p>
    <w:p w:rsidR="00DE2E59" w:rsidRPr="00CF6856" w:rsidRDefault="00DE2E59" w:rsidP="00DE2E59">
      <w:pPr>
        <w:spacing w:after="0" w:line="240" w:lineRule="auto"/>
        <w:jc w:val="both"/>
        <w:rPr>
          <w:rFonts w:cs="Arial"/>
          <w:b/>
          <w:bCs/>
          <w:sz w:val="20"/>
          <w:szCs w:val="20"/>
        </w:rPr>
      </w:pPr>
      <w:r w:rsidRPr="00CF6856">
        <w:rPr>
          <w:rFonts w:cs="Arial"/>
          <w:sz w:val="20"/>
          <w:szCs w:val="20"/>
        </w:rPr>
        <w:t>WAGNER Rechtsanwälte</w:t>
      </w:r>
      <w:r w:rsidRPr="00CF6856">
        <w:rPr>
          <w:rFonts w:cs="Arial"/>
          <w:b/>
          <w:bCs/>
          <w:sz w:val="20"/>
          <w:szCs w:val="20"/>
        </w:rPr>
        <w:t xml:space="preserve"> </w:t>
      </w:r>
    </w:p>
    <w:p w:rsidR="00DE2E59" w:rsidRPr="00CF6856" w:rsidRDefault="00DE2E59" w:rsidP="00DE2E59">
      <w:pPr>
        <w:spacing w:after="0" w:line="240" w:lineRule="auto"/>
        <w:jc w:val="both"/>
        <w:rPr>
          <w:rFonts w:cs="Arial"/>
          <w:sz w:val="20"/>
          <w:szCs w:val="20"/>
        </w:rPr>
      </w:pPr>
      <w:r w:rsidRPr="00CF6856">
        <w:rPr>
          <w:rFonts w:cs="Arial"/>
          <w:sz w:val="20"/>
          <w:szCs w:val="20"/>
        </w:rPr>
        <w:t>Großherzog-Friedrich-Str. 40</w:t>
      </w:r>
    </w:p>
    <w:p w:rsidR="00DE2E59" w:rsidRPr="00CF6856" w:rsidRDefault="00DE2E59" w:rsidP="00DE2E59">
      <w:pPr>
        <w:spacing w:after="0" w:line="240" w:lineRule="auto"/>
        <w:jc w:val="both"/>
        <w:rPr>
          <w:rFonts w:cs="Arial"/>
          <w:sz w:val="20"/>
          <w:szCs w:val="20"/>
        </w:rPr>
      </w:pPr>
      <w:r w:rsidRPr="00CF6856">
        <w:rPr>
          <w:rFonts w:cs="Arial"/>
          <w:sz w:val="20"/>
          <w:szCs w:val="20"/>
        </w:rPr>
        <w:t>66111 Saarbrücken</w:t>
      </w:r>
    </w:p>
    <w:p w:rsidR="00DE2E59" w:rsidRPr="00CF6856" w:rsidRDefault="00DE2E59" w:rsidP="00DE2E59">
      <w:pPr>
        <w:spacing w:after="0" w:line="240" w:lineRule="auto"/>
        <w:jc w:val="both"/>
        <w:rPr>
          <w:rFonts w:cs="Arial"/>
          <w:sz w:val="20"/>
          <w:szCs w:val="20"/>
        </w:rPr>
      </w:pPr>
      <w:r w:rsidRPr="00CF6856">
        <w:rPr>
          <w:rFonts w:cs="Arial"/>
          <w:sz w:val="20"/>
          <w:szCs w:val="20"/>
        </w:rPr>
        <w:t xml:space="preserve"> </w:t>
      </w:r>
    </w:p>
    <w:p w:rsidR="00DE2E59" w:rsidRPr="00CF6856" w:rsidRDefault="00DE2E59" w:rsidP="00DE2E59">
      <w:pPr>
        <w:spacing w:after="0" w:line="240" w:lineRule="auto"/>
        <w:jc w:val="both"/>
        <w:rPr>
          <w:rFonts w:cs="Arial"/>
          <w:sz w:val="20"/>
          <w:szCs w:val="20"/>
        </w:rPr>
      </w:pPr>
      <w:r w:rsidRPr="00CF6856">
        <w:rPr>
          <w:rFonts w:cs="Arial"/>
          <w:sz w:val="20"/>
          <w:szCs w:val="20"/>
        </w:rPr>
        <w:t>Tel.: +49 (0) 681-95 82 82-0</w:t>
      </w:r>
      <w:r w:rsidRPr="00CF6856">
        <w:rPr>
          <w:rFonts w:cs="Arial"/>
          <w:sz w:val="20"/>
          <w:szCs w:val="20"/>
        </w:rPr>
        <w:tab/>
      </w:r>
      <w:r w:rsidRPr="00CF6856">
        <w:rPr>
          <w:rFonts w:cs="Arial"/>
          <w:sz w:val="20"/>
          <w:szCs w:val="20"/>
        </w:rPr>
        <w:tab/>
        <w:t>Fax: +49 (0) 681-95 82 82-10</w:t>
      </w:r>
    </w:p>
    <w:p w:rsidR="00DE2E59" w:rsidRPr="00DE2E59" w:rsidRDefault="00DE2E59" w:rsidP="00DE2E59">
      <w:pPr>
        <w:spacing w:after="0" w:line="240" w:lineRule="auto"/>
        <w:jc w:val="both"/>
        <w:rPr>
          <w:rFonts w:cs="Arial"/>
          <w:sz w:val="20"/>
          <w:szCs w:val="20"/>
        </w:rPr>
      </w:pPr>
      <w:r w:rsidRPr="00CF6856">
        <w:rPr>
          <w:rFonts w:cs="Arial"/>
          <w:sz w:val="20"/>
          <w:szCs w:val="20"/>
          <w:lang w:val="it-IT"/>
        </w:rPr>
        <w:t xml:space="preserve">E-Mail: </w:t>
      </w:r>
      <w:hyperlink r:id="rId9" w:tooltip="Öffnet ein Fenster zum E-Mail-Senden" w:history="1">
        <w:r w:rsidRPr="00CF6856">
          <w:rPr>
            <w:rStyle w:val="Hyperlink"/>
            <w:rFonts w:cs="Arial"/>
            <w:sz w:val="20"/>
            <w:szCs w:val="20"/>
            <w:lang w:val="it-IT"/>
          </w:rPr>
          <w:t>wagner@webvocat.de</w:t>
        </w:r>
      </w:hyperlink>
      <w:r w:rsidRPr="00CF6856">
        <w:rPr>
          <w:rFonts w:cs="Arial"/>
          <w:sz w:val="20"/>
          <w:szCs w:val="20"/>
          <w:lang w:val="it-IT"/>
        </w:rPr>
        <w:tab/>
      </w:r>
      <w:r w:rsidRPr="00CF6856">
        <w:rPr>
          <w:rFonts w:cs="Arial"/>
          <w:sz w:val="20"/>
          <w:szCs w:val="20"/>
          <w:lang w:val="it-IT"/>
        </w:rPr>
        <w:tab/>
      </w:r>
      <w:hyperlink r:id="rId10" w:history="1">
        <w:r w:rsidRPr="00CF6856">
          <w:rPr>
            <w:rStyle w:val="Hyperlink"/>
            <w:rFonts w:cs="Arial"/>
            <w:sz w:val="20"/>
            <w:szCs w:val="20"/>
            <w:lang w:val="it-IT"/>
          </w:rPr>
          <w:t>www.webvocat.de</w:t>
        </w:r>
      </w:hyperlink>
    </w:p>
    <w:sectPr w:rsidR="00DE2E59" w:rsidRPr="00DE2E59">
      <w:head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906" w:rsidRDefault="00921906" w:rsidP="00DE2E59">
      <w:pPr>
        <w:spacing w:after="0" w:line="240" w:lineRule="auto"/>
      </w:pPr>
      <w:r>
        <w:separator/>
      </w:r>
    </w:p>
  </w:endnote>
  <w:endnote w:type="continuationSeparator" w:id="0">
    <w:p w:rsidR="00921906" w:rsidRDefault="00921906" w:rsidP="00DE2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Univers 57 Condensed"/>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906" w:rsidRDefault="00921906" w:rsidP="00DE2E59">
      <w:pPr>
        <w:spacing w:after="0" w:line="240" w:lineRule="auto"/>
      </w:pPr>
      <w:r>
        <w:separator/>
      </w:r>
    </w:p>
  </w:footnote>
  <w:footnote w:type="continuationSeparator" w:id="0">
    <w:p w:rsidR="00921906" w:rsidRDefault="00921906" w:rsidP="00DE2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E59" w:rsidRPr="00DE2E59" w:rsidRDefault="00DE2E59" w:rsidP="00DE2E59">
    <w:pPr>
      <w:tabs>
        <w:tab w:val="center" w:pos="4819"/>
        <w:tab w:val="right" w:pos="9071"/>
      </w:tabs>
      <w:spacing w:after="0" w:line="240" w:lineRule="auto"/>
      <w:jc w:val="center"/>
      <w:rPr>
        <w:sz w:val="24"/>
        <w:szCs w:val="20"/>
        <w:lang w:eastAsia="de-DE"/>
      </w:rPr>
    </w:pPr>
    <w:r w:rsidRPr="00DE2E59">
      <w:rPr>
        <w:rFonts w:cs="Arial"/>
        <w:b/>
        <w:bCs/>
        <w:sz w:val="28"/>
        <w:szCs w:val="28"/>
        <w:lang w:eastAsia="de-DE"/>
      </w:rPr>
      <w:t>mittelstandsdepesche 08-2017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www.webvocat.de/fileadmin/user_upload/webvocat/News/Sonstiges/PDF%20Symbol%20I.gif" style="width:13.5pt;height:12pt;visibility:visible" o:bullet="t">
        <v:imagedata r:id="rId1" o:title=""/>
      </v:shape>
    </w:pict>
  </w:numPicBullet>
  <w:abstractNum w:abstractNumId="0" w15:restartNumberingAfterBreak="0">
    <w:nsid w:val="6BCE1684"/>
    <w:multiLevelType w:val="hybridMultilevel"/>
    <w:tmpl w:val="F6F84F76"/>
    <w:lvl w:ilvl="0" w:tplc="D714CFD8">
      <w:start w:val="1"/>
      <w:numFmt w:val="bullet"/>
      <w:lvlText w:val=""/>
      <w:lvlPicBulletId w:val="0"/>
      <w:lvlJc w:val="left"/>
      <w:pPr>
        <w:tabs>
          <w:tab w:val="num" w:pos="720"/>
        </w:tabs>
        <w:ind w:left="720" w:hanging="360"/>
      </w:pPr>
      <w:rPr>
        <w:rFonts w:ascii="Symbol" w:hAnsi="Symbol" w:hint="default"/>
      </w:rPr>
    </w:lvl>
    <w:lvl w:ilvl="1" w:tplc="4688442A" w:tentative="1">
      <w:start w:val="1"/>
      <w:numFmt w:val="bullet"/>
      <w:lvlText w:val=""/>
      <w:lvlJc w:val="left"/>
      <w:pPr>
        <w:tabs>
          <w:tab w:val="num" w:pos="1440"/>
        </w:tabs>
        <w:ind w:left="1440" w:hanging="360"/>
      </w:pPr>
      <w:rPr>
        <w:rFonts w:ascii="Symbol" w:hAnsi="Symbol" w:hint="default"/>
      </w:rPr>
    </w:lvl>
    <w:lvl w:ilvl="2" w:tplc="862CC400" w:tentative="1">
      <w:start w:val="1"/>
      <w:numFmt w:val="bullet"/>
      <w:lvlText w:val=""/>
      <w:lvlJc w:val="left"/>
      <w:pPr>
        <w:tabs>
          <w:tab w:val="num" w:pos="2160"/>
        </w:tabs>
        <w:ind w:left="2160" w:hanging="360"/>
      </w:pPr>
      <w:rPr>
        <w:rFonts w:ascii="Symbol" w:hAnsi="Symbol" w:hint="default"/>
      </w:rPr>
    </w:lvl>
    <w:lvl w:ilvl="3" w:tplc="BA9C9364" w:tentative="1">
      <w:start w:val="1"/>
      <w:numFmt w:val="bullet"/>
      <w:lvlText w:val=""/>
      <w:lvlJc w:val="left"/>
      <w:pPr>
        <w:tabs>
          <w:tab w:val="num" w:pos="2880"/>
        </w:tabs>
        <w:ind w:left="2880" w:hanging="360"/>
      </w:pPr>
      <w:rPr>
        <w:rFonts w:ascii="Symbol" w:hAnsi="Symbol" w:hint="default"/>
      </w:rPr>
    </w:lvl>
    <w:lvl w:ilvl="4" w:tplc="FFA88EB0" w:tentative="1">
      <w:start w:val="1"/>
      <w:numFmt w:val="bullet"/>
      <w:lvlText w:val=""/>
      <w:lvlJc w:val="left"/>
      <w:pPr>
        <w:tabs>
          <w:tab w:val="num" w:pos="3600"/>
        </w:tabs>
        <w:ind w:left="3600" w:hanging="360"/>
      </w:pPr>
      <w:rPr>
        <w:rFonts w:ascii="Symbol" w:hAnsi="Symbol" w:hint="default"/>
      </w:rPr>
    </w:lvl>
    <w:lvl w:ilvl="5" w:tplc="83AA87A4" w:tentative="1">
      <w:start w:val="1"/>
      <w:numFmt w:val="bullet"/>
      <w:lvlText w:val=""/>
      <w:lvlJc w:val="left"/>
      <w:pPr>
        <w:tabs>
          <w:tab w:val="num" w:pos="4320"/>
        </w:tabs>
        <w:ind w:left="4320" w:hanging="360"/>
      </w:pPr>
      <w:rPr>
        <w:rFonts w:ascii="Symbol" w:hAnsi="Symbol" w:hint="default"/>
      </w:rPr>
    </w:lvl>
    <w:lvl w:ilvl="6" w:tplc="3F785862" w:tentative="1">
      <w:start w:val="1"/>
      <w:numFmt w:val="bullet"/>
      <w:lvlText w:val=""/>
      <w:lvlJc w:val="left"/>
      <w:pPr>
        <w:tabs>
          <w:tab w:val="num" w:pos="5040"/>
        </w:tabs>
        <w:ind w:left="5040" w:hanging="360"/>
      </w:pPr>
      <w:rPr>
        <w:rFonts w:ascii="Symbol" w:hAnsi="Symbol" w:hint="default"/>
      </w:rPr>
    </w:lvl>
    <w:lvl w:ilvl="7" w:tplc="3A8A3970" w:tentative="1">
      <w:start w:val="1"/>
      <w:numFmt w:val="bullet"/>
      <w:lvlText w:val=""/>
      <w:lvlJc w:val="left"/>
      <w:pPr>
        <w:tabs>
          <w:tab w:val="num" w:pos="5760"/>
        </w:tabs>
        <w:ind w:left="5760" w:hanging="360"/>
      </w:pPr>
      <w:rPr>
        <w:rFonts w:ascii="Symbol" w:hAnsi="Symbol" w:hint="default"/>
      </w:rPr>
    </w:lvl>
    <w:lvl w:ilvl="8" w:tplc="E1B6BB18"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ED2"/>
    <w:rsid w:val="00104831"/>
    <w:rsid w:val="00115DA2"/>
    <w:rsid w:val="00182F65"/>
    <w:rsid w:val="00261ED2"/>
    <w:rsid w:val="003C614B"/>
    <w:rsid w:val="00471075"/>
    <w:rsid w:val="00921906"/>
    <w:rsid w:val="00B94A82"/>
    <w:rsid w:val="00CF6856"/>
    <w:rsid w:val="00D32887"/>
    <w:rsid w:val="00DE2E59"/>
    <w:rsid w:val="00EC6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7750869-FE6E-4CDA-825A-D4DA533F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cs="Times New Roman"/>
    </w:rPr>
  </w:style>
  <w:style w:type="paragraph" w:styleId="berschrift1">
    <w:name w:val="heading 1"/>
    <w:basedOn w:val="Standard"/>
    <w:link w:val="berschrift1Zchn"/>
    <w:uiPriority w:val="9"/>
    <w:qFormat/>
    <w:rsid w:val="00261ED2"/>
    <w:pPr>
      <w:spacing w:before="100" w:beforeAutospacing="1" w:after="100" w:afterAutospacing="1" w:line="240" w:lineRule="auto"/>
      <w:outlineLvl w:val="0"/>
    </w:pPr>
    <w:rPr>
      <w:rFonts w:ascii="Times New Roman" w:hAnsi="Times New Roman"/>
      <w:b/>
      <w:bCs/>
      <w:kern w:val="36"/>
      <w:sz w:val="48"/>
      <w:szCs w:val="48"/>
      <w:lang w:eastAsia="de-DE"/>
    </w:rPr>
  </w:style>
  <w:style w:type="paragraph" w:styleId="berschrift2">
    <w:name w:val="heading 2"/>
    <w:basedOn w:val="Standard"/>
    <w:link w:val="berschrift2Zchn"/>
    <w:uiPriority w:val="9"/>
    <w:qFormat/>
    <w:rsid w:val="00261ED2"/>
    <w:pPr>
      <w:spacing w:before="100" w:beforeAutospacing="1" w:after="100" w:afterAutospacing="1" w:line="240" w:lineRule="auto"/>
      <w:outlineLvl w:val="1"/>
    </w:pPr>
    <w:rPr>
      <w:rFonts w:ascii="Times New Roman" w:hAnsi="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261ED2"/>
    <w:rPr>
      <w:rFonts w:ascii="Times New Roman" w:hAnsi="Times New Roman" w:cs="Times New Roman"/>
      <w:b/>
      <w:bCs/>
      <w:kern w:val="36"/>
      <w:sz w:val="48"/>
      <w:szCs w:val="48"/>
      <w:lang w:val="x-none" w:eastAsia="de-DE"/>
    </w:rPr>
  </w:style>
  <w:style w:type="character" w:customStyle="1" w:styleId="berschrift2Zchn">
    <w:name w:val="Überschrift 2 Zchn"/>
    <w:basedOn w:val="Absatz-Standardschriftart"/>
    <w:link w:val="berschrift2"/>
    <w:uiPriority w:val="9"/>
    <w:locked/>
    <w:rsid w:val="00261ED2"/>
    <w:rPr>
      <w:rFonts w:ascii="Times New Roman" w:hAnsi="Times New Roman" w:cs="Times New Roman"/>
      <w:b/>
      <w:bCs/>
      <w:sz w:val="36"/>
      <w:szCs w:val="36"/>
      <w:lang w:val="x-none" w:eastAsia="de-DE"/>
    </w:rPr>
  </w:style>
  <w:style w:type="character" w:customStyle="1" w:styleId="news-single-date">
    <w:name w:val="news-single-date"/>
    <w:basedOn w:val="Absatz-Standardschriftart"/>
    <w:rsid w:val="00261ED2"/>
    <w:rPr>
      <w:rFonts w:cs="Times New Roman"/>
    </w:rPr>
  </w:style>
  <w:style w:type="paragraph" w:customStyle="1" w:styleId="align-justify">
    <w:name w:val="align-justify"/>
    <w:basedOn w:val="Standard"/>
    <w:rsid w:val="00261ED2"/>
    <w:pPr>
      <w:spacing w:before="100" w:beforeAutospacing="1" w:after="100" w:afterAutospacing="1" w:line="240" w:lineRule="auto"/>
    </w:pPr>
    <w:rPr>
      <w:rFonts w:ascii="Times New Roman" w:hAnsi="Times New Roman"/>
      <w:sz w:val="24"/>
      <w:szCs w:val="24"/>
      <w:lang w:eastAsia="de-DE"/>
    </w:rPr>
  </w:style>
  <w:style w:type="character" w:styleId="Hyperlink">
    <w:name w:val="Hyperlink"/>
    <w:basedOn w:val="Absatz-Standardschriftart"/>
    <w:uiPriority w:val="99"/>
    <w:semiHidden/>
    <w:unhideWhenUsed/>
    <w:rsid w:val="00261ED2"/>
    <w:rPr>
      <w:rFonts w:cs="Times New Roman"/>
      <w:color w:val="0000FF"/>
      <w:u w:val="single"/>
    </w:rPr>
  </w:style>
  <w:style w:type="paragraph" w:styleId="Listenabsatz">
    <w:name w:val="List Paragraph"/>
    <w:basedOn w:val="Standard"/>
    <w:uiPriority w:val="34"/>
    <w:qFormat/>
    <w:rsid w:val="00DE2E59"/>
    <w:pPr>
      <w:ind w:left="720"/>
      <w:contextualSpacing/>
    </w:pPr>
  </w:style>
  <w:style w:type="paragraph" w:styleId="Kopfzeile">
    <w:name w:val="header"/>
    <w:basedOn w:val="Standard"/>
    <w:link w:val="KopfzeileZchn"/>
    <w:uiPriority w:val="99"/>
    <w:unhideWhenUsed/>
    <w:rsid w:val="00DE2E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locked/>
    <w:rsid w:val="00DE2E59"/>
    <w:rPr>
      <w:rFonts w:cs="Times New Roman"/>
    </w:rPr>
  </w:style>
  <w:style w:type="paragraph" w:styleId="Fuzeile">
    <w:name w:val="footer"/>
    <w:basedOn w:val="Standard"/>
    <w:link w:val="FuzeileZchn"/>
    <w:uiPriority w:val="99"/>
    <w:unhideWhenUsed/>
    <w:rsid w:val="00DE2E59"/>
    <w:pPr>
      <w:tabs>
        <w:tab w:val="center" w:pos="4536"/>
        <w:tab w:val="right" w:pos="9072"/>
      </w:tabs>
      <w:spacing w:after="0" w:line="240" w:lineRule="auto"/>
    </w:pPr>
  </w:style>
  <w:style w:type="character" w:customStyle="1" w:styleId="FuzeileZchn">
    <w:name w:val="Fußzeile Zchn"/>
    <w:basedOn w:val="Absatz-Standardschriftart"/>
    <w:link w:val="Fuzeile"/>
    <w:uiPriority w:val="99"/>
    <w:locked/>
    <w:rsid w:val="00DE2E5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338043">
      <w:marLeft w:val="0"/>
      <w:marRight w:val="0"/>
      <w:marTop w:val="0"/>
      <w:marBottom w:val="0"/>
      <w:divBdr>
        <w:top w:val="none" w:sz="0" w:space="0" w:color="auto"/>
        <w:left w:val="none" w:sz="0" w:space="0" w:color="auto"/>
        <w:bottom w:val="none" w:sz="0" w:space="0" w:color="auto"/>
        <w:right w:val="none" w:sz="0" w:space="0" w:color="auto"/>
      </w:divBdr>
      <w:divsChild>
        <w:div w:id="890338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jure.org/dienste/vernetzung/rechtsprechung?Text=XI%20ZR%20233/1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ejure.org/dienste/vernetzung/rechtsprechung?Text=XI%20ZR%20562/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ebvocat.de/" TargetMode="External"/><Relationship Id="rId4" Type="http://schemas.openxmlformats.org/officeDocument/2006/relationships/webSettings" Target="webSettings.xml"/><Relationship Id="rId9" Type="http://schemas.openxmlformats.org/officeDocument/2006/relationships/hyperlink" Target="mailto:wagner@webvocat.d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C72C6B27.dotm</Template>
  <TotalTime>0</TotalTime>
  <Pages>1</Pages>
  <Words>299</Words>
  <Characters>1888</Characters>
  <Application>Microsoft Office Word</Application>
  <DocSecurity>0</DocSecurity>
  <Lines>15</Lines>
  <Paragraphs>4</Paragraphs>
  <ScaleCrop>false</ScaleCrop>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Henn</dc:creator>
  <cp:keywords/>
  <dc:description/>
  <cp:lastModifiedBy>Administrator</cp:lastModifiedBy>
  <cp:revision>2</cp:revision>
  <dcterms:created xsi:type="dcterms:W3CDTF">2017-09-04T06:19:00Z</dcterms:created>
  <dcterms:modified xsi:type="dcterms:W3CDTF">2017-09-04T06:19:00Z</dcterms:modified>
</cp:coreProperties>
</file>