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64F" w:rsidRPr="00AB664F" w:rsidRDefault="00AB664F" w:rsidP="00AB664F">
      <w:pPr>
        <w:tabs>
          <w:tab w:val="center" w:pos="4536"/>
          <w:tab w:val="right" w:pos="9072"/>
        </w:tabs>
        <w:spacing w:after="0" w:line="240" w:lineRule="auto"/>
        <w:jc w:val="right"/>
        <w:rPr>
          <w:rFonts w:ascii="Calibri" w:hAnsi="Calibri" w:cs="Calibri"/>
          <w:sz w:val="24"/>
          <w:szCs w:val="24"/>
          <w:lang w:val="en-US" w:eastAsia="de-DE"/>
        </w:rPr>
      </w:pPr>
      <w:bookmarkStart w:id="0" w:name="_GoBack"/>
      <w:bookmarkEnd w:id="0"/>
      <w:r w:rsidRPr="00AB664F">
        <w:rPr>
          <w:rFonts w:cs="Arial"/>
          <w:b/>
          <w:bCs/>
          <w:sz w:val="40"/>
          <w:szCs w:val="40"/>
          <w:lang w:val="en-US" w:eastAsia="de-DE"/>
        </w:rPr>
        <w:t>DASV</w:t>
      </w:r>
    </w:p>
    <w:p w:rsidR="00AB664F" w:rsidRPr="00AB664F" w:rsidRDefault="00AB664F" w:rsidP="00AB664F">
      <w:pPr>
        <w:spacing w:after="0" w:line="240" w:lineRule="auto"/>
        <w:jc w:val="right"/>
        <w:rPr>
          <w:rFonts w:cs="Arial"/>
          <w:sz w:val="20"/>
          <w:szCs w:val="20"/>
          <w:lang w:val="en-US" w:eastAsia="de-DE"/>
        </w:rPr>
      </w:pPr>
      <w:bookmarkStart w:id="1" w:name="2"/>
      <w:bookmarkStart w:id="2" w:name="9"/>
      <w:bookmarkEnd w:id="1"/>
      <w:bookmarkEnd w:id="2"/>
      <w:r w:rsidRPr="00AB664F">
        <w:rPr>
          <w:rFonts w:cs="Arial"/>
          <w:sz w:val="20"/>
          <w:szCs w:val="20"/>
          <w:lang w:val="en-US" w:eastAsia="de-DE"/>
        </w:rPr>
        <w:t>Deutsche Anwalts- und</w:t>
      </w:r>
    </w:p>
    <w:p w:rsidR="00AB664F" w:rsidRPr="00AB664F" w:rsidRDefault="00AB664F" w:rsidP="00AB664F">
      <w:pPr>
        <w:spacing w:after="0" w:line="240" w:lineRule="auto"/>
        <w:jc w:val="right"/>
        <w:rPr>
          <w:rFonts w:cs="Arial"/>
          <w:sz w:val="20"/>
          <w:szCs w:val="20"/>
          <w:lang w:val="en-US" w:eastAsia="de-DE"/>
        </w:rPr>
      </w:pPr>
      <w:r w:rsidRPr="00AB664F">
        <w:rPr>
          <w:rFonts w:cs="Arial"/>
          <w:sz w:val="20"/>
          <w:szCs w:val="20"/>
          <w:lang w:val="en-US" w:eastAsia="de-DE"/>
        </w:rPr>
        <w:t>Steuerberatervereinigung</w:t>
      </w:r>
    </w:p>
    <w:p w:rsidR="00AB664F" w:rsidRPr="00AB664F" w:rsidRDefault="00AB664F" w:rsidP="00AB664F">
      <w:pPr>
        <w:spacing w:after="0" w:line="240" w:lineRule="auto"/>
        <w:jc w:val="right"/>
        <w:rPr>
          <w:rFonts w:cs="Arial"/>
          <w:sz w:val="20"/>
          <w:szCs w:val="20"/>
          <w:lang w:val="en-US" w:eastAsia="de-DE"/>
        </w:rPr>
      </w:pPr>
      <w:r w:rsidRPr="00AB664F">
        <w:rPr>
          <w:rFonts w:cs="Arial"/>
          <w:sz w:val="20"/>
          <w:szCs w:val="20"/>
          <w:lang w:val="en-US" w:eastAsia="de-DE"/>
        </w:rPr>
        <w:t>für die mittelständische</w:t>
      </w:r>
    </w:p>
    <w:p w:rsidR="00AB664F" w:rsidRPr="00AB664F" w:rsidRDefault="00AB664F" w:rsidP="00AB664F">
      <w:pPr>
        <w:spacing w:after="0" w:line="240" w:lineRule="auto"/>
        <w:jc w:val="right"/>
        <w:rPr>
          <w:rFonts w:cs="Arial"/>
          <w:sz w:val="20"/>
          <w:szCs w:val="20"/>
          <w:lang w:val="en-US" w:eastAsia="de-DE"/>
        </w:rPr>
      </w:pPr>
      <w:r w:rsidRPr="00AB664F">
        <w:rPr>
          <w:rFonts w:cs="Arial"/>
          <w:sz w:val="20"/>
          <w:szCs w:val="20"/>
          <w:lang w:val="en-US" w:eastAsia="de-DE"/>
        </w:rPr>
        <w:t>Wirtschaft e. V.</w:t>
      </w:r>
    </w:p>
    <w:p w:rsidR="00AB664F" w:rsidRDefault="00AB664F" w:rsidP="00AB664F">
      <w:pPr>
        <w:spacing w:after="0" w:line="360" w:lineRule="auto"/>
        <w:outlineLvl w:val="0"/>
        <w:rPr>
          <w:rFonts w:cs="Arial"/>
          <w:b/>
          <w:bCs/>
          <w:kern w:val="36"/>
          <w:lang w:eastAsia="de-DE"/>
        </w:rPr>
      </w:pPr>
    </w:p>
    <w:p w:rsidR="00341C26" w:rsidRPr="00AB664F" w:rsidRDefault="00341C26" w:rsidP="00AB664F">
      <w:pPr>
        <w:spacing w:after="0" w:line="360" w:lineRule="auto"/>
        <w:outlineLvl w:val="0"/>
        <w:rPr>
          <w:rFonts w:cs="Arial"/>
          <w:b/>
          <w:bCs/>
          <w:kern w:val="36"/>
          <w:lang w:eastAsia="de-DE"/>
        </w:rPr>
      </w:pPr>
      <w:r w:rsidRPr="00AB664F">
        <w:rPr>
          <w:rFonts w:cs="Arial"/>
          <w:b/>
          <w:bCs/>
          <w:kern w:val="36"/>
          <w:lang w:eastAsia="de-DE"/>
        </w:rPr>
        <w:t>Sofortüberweisung“ als einzige kostenlose Bezahlmeth</w:t>
      </w:r>
      <w:r w:rsidR="00AB664F">
        <w:rPr>
          <w:rFonts w:cs="Arial"/>
          <w:b/>
          <w:bCs/>
          <w:kern w:val="36"/>
          <w:lang w:eastAsia="de-DE"/>
        </w:rPr>
        <w:t>ode nicht ausreichend</w:t>
      </w:r>
    </w:p>
    <w:p w:rsidR="00AB664F" w:rsidRDefault="00AB664F" w:rsidP="00AB664F">
      <w:pPr>
        <w:spacing w:after="0" w:line="360" w:lineRule="auto"/>
        <w:jc w:val="both"/>
        <w:outlineLvl w:val="1"/>
        <w:rPr>
          <w:rFonts w:cs="Arial"/>
          <w:b/>
          <w:bCs/>
          <w:lang w:eastAsia="de-DE"/>
        </w:rPr>
      </w:pPr>
    </w:p>
    <w:p w:rsidR="00AB664F" w:rsidRPr="00CF6856" w:rsidRDefault="00AB664F" w:rsidP="00AB664F">
      <w:pPr>
        <w:spacing w:after="0" w:line="240" w:lineRule="auto"/>
        <w:jc w:val="both"/>
        <w:rPr>
          <w:rFonts w:cs="Arial"/>
          <w:bCs/>
        </w:rPr>
      </w:pPr>
      <w:r w:rsidRPr="00CF6856">
        <w:rPr>
          <w:rFonts w:cs="Arial"/>
          <w:bCs/>
        </w:rPr>
        <w:t>ein Artikel von Rechtsanwalt Manfred Wagner</w:t>
      </w:r>
      <w:r>
        <w:rPr>
          <w:rFonts w:cs="Arial"/>
          <w:bCs/>
        </w:rPr>
        <w:t xml:space="preserve"> und Rechtsanwältin Carolin Bastian</w:t>
      </w:r>
      <w:r w:rsidRPr="00CF6856">
        <w:rPr>
          <w:rFonts w:cs="Arial"/>
          <w:bCs/>
        </w:rPr>
        <w:t>, Saarbrücken</w:t>
      </w:r>
    </w:p>
    <w:p w:rsidR="00AB664F" w:rsidRPr="00AB664F" w:rsidRDefault="00AB664F" w:rsidP="00AB664F">
      <w:pPr>
        <w:spacing w:after="0" w:line="360" w:lineRule="auto"/>
        <w:jc w:val="both"/>
        <w:outlineLvl w:val="1"/>
        <w:rPr>
          <w:rFonts w:cs="Arial"/>
          <w:bCs/>
          <w:lang w:eastAsia="de-DE"/>
        </w:rPr>
      </w:pPr>
    </w:p>
    <w:p w:rsidR="00341C26" w:rsidRDefault="00341C26" w:rsidP="00AB664F">
      <w:pPr>
        <w:spacing w:after="0" w:line="360" w:lineRule="auto"/>
        <w:jc w:val="both"/>
        <w:outlineLvl w:val="1"/>
        <w:rPr>
          <w:rFonts w:cs="Arial"/>
          <w:b/>
          <w:bCs/>
          <w:lang w:eastAsia="de-DE"/>
        </w:rPr>
      </w:pPr>
      <w:r w:rsidRPr="00AB664F">
        <w:rPr>
          <w:rFonts w:cs="Arial"/>
          <w:b/>
          <w:bCs/>
          <w:lang w:eastAsia="de-DE"/>
        </w:rPr>
        <w:t xml:space="preserve">Der BGH hat mit Urteil vom 18. Juli 2017 (Az.: </w:t>
      </w:r>
      <w:hyperlink r:id="rId6" w:tgtFrame="_blank" w:tooltip="BGH, 18.07.2017 - KZR 39/16: &quot;Sofortüberweisung&quot; darf nicht einziges Gratis-Bezahlverfahren sei..." w:history="1">
        <w:r w:rsidRPr="00AB664F">
          <w:rPr>
            <w:rFonts w:cs="Arial"/>
            <w:b/>
            <w:bCs/>
            <w:lang w:eastAsia="de-DE"/>
          </w:rPr>
          <w:t>KZR 39/16</w:t>
        </w:r>
      </w:hyperlink>
      <w:r w:rsidRPr="00AB664F">
        <w:rPr>
          <w:rFonts w:cs="Arial"/>
          <w:b/>
          <w:bCs/>
          <w:lang w:eastAsia="de-DE"/>
        </w:rPr>
        <w:t>) entschieden, dass das Angebot der Option „Sofortüberweisung“ als einzige kostenlose Bezahlmethode nicht ausreichend ist.</w:t>
      </w:r>
    </w:p>
    <w:p w:rsidR="00AB664F" w:rsidRPr="00AB664F" w:rsidRDefault="00AB664F" w:rsidP="00AB664F">
      <w:pPr>
        <w:spacing w:after="0" w:line="360" w:lineRule="auto"/>
        <w:jc w:val="both"/>
        <w:outlineLvl w:val="1"/>
        <w:rPr>
          <w:rFonts w:cs="Arial"/>
          <w:b/>
          <w:bCs/>
          <w:lang w:eastAsia="de-DE"/>
        </w:rPr>
      </w:pPr>
    </w:p>
    <w:p w:rsidR="00AB664F" w:rsidRDefault="00341C26" w:rsidP="00AB664F">
      <w:pPr>
        <w:spacing w:after="0" w:line="360" w:lineRule="auto"/>
        <w:jc w:val="both"/>
        <w:rPr>
          <w:rFonts w:cs="Arial"/>
          <w:lang w:eastAsia="de-DE"/>
        </w:rPr>
      </w:pPr>
      <w:r w:rsidRPr="00AB664F">
        <w:rPr>
          <w:rFonts w:cs="Arial"/>
          <w:lang w:eastAsia="de-DE"/>
        </w:rPr>
        <w:t>Hierüber berichtet der Verbraucherzentrale Bundesverband (vzbv), der die Entscheidung erstritten hat, im Rahmen einer Pressemitteilung (</w:t>
      </w:r>
      <w:hyperlink r:id="rId7" w:tgtFrame="_blank" w:tooltip="Öffnet einen externen Link in einem neuen Fenster" w:history="1">
        <w:r w:rsidRPr="00AB664F">
          <w:rPr>
            <w:rFonts w:cs="Arial"/>
            <w:lang w:eastAsia="de-DE"/>
          </w:rPr>
          <w:t>http://www.vzbv.de/pressemitteilung/bgh-staerkt-kundenrechte-beim-bezahlen-im-internet</w:t>
        </w:r>
      </w:hyperlink>
      <w:r w:rsidRPr="00AB664F">
        <w:rPr>
          <w:rFonts w:cs="Arial"/>
          <w:lang w:eastAsia="de-DE"/>
        </w:rPr>
        <w:t>).</w:t>
      </w:r>
    </w:p>
    <w:p w:rsidR="00AB664F" w:rsidRPr="00AB664F" w:rsidRDefault="00AB664F" w:rsidP="00AB664F">
      <w:pPr>
        <w:spacing w:after="0" w:line="360" w:lineRule="auto"/>
        <w:jc w:val="both"/>
        <w:rPr>
          <w:rFonts w:cs="Arial"/>
          <w:lang w:eastAsia="de-DE"/>
        </w:rPr>
      </w:pPr>
    </w:p>
    <w:p w:rsidR="00AB664F" w:rsidRDefault="00341C26" w:rsidP="00AB664F">
      <w:pPr>
        <w:spacing w:after="0" w:line="360" w:lineRule="auto"/>
        <w:jc w:val="both"/>
        <w:rPr>
          <w:rFonts w:cs="Arial"/>
          <w:lang w:eastAsia="de-DE"/>
        </w:rPr>
      </w:pPr>
      <w:r w:rsidRPr="00AB664F">
        <w:rPr>
          <w:rFonts w:cs="Arial"/>
          <w:lang w:eastAsia="de-DE"/>
        </w:rPr>
        <w:t>Beanstandet wurde vorliegend, dass auf der streitgegenständlichen Reiseplattform die Zahlung per „Sofortüberweisung“ als einzige kostenlose Zahlungsmöglichkeit angeboten worden ist. Wollten die Nutzer per „Sofortüberweisung“ zahlen, mussten diese an einen Drittanbieter unter anderem ihren Disporahmen und weitere sensible Bankdaten übermitteln.</w:t>
      </w:r>
    </w:p>
    <w:p w:rsidR="00AB664F" w:rsidRPr="00AB664F" w:rsidRDefault="00AB664F" w:rsidP="00AB664F">
      <w:pPr>
        <w:spacing w:after="0" w:line="360" w:lineRule="auto"/>
        <w:jc w:val="both"/>
        <w:rPr>
          <w:rFonts w:cs="Arial"/>
          <w:lang w:eastAsia="de-DE"/>
        </w:rPr>
      </w:pPr>
    </w:p>
    <w:p w:rsidR="00AB664F" w:rsidRDefault="00341C26" w:rsidP="00AB664F">
      <w:pPr>
        <w:spacing w:after="0" w:line="360" w:lineRule="auto"/>
        <w:jc w:val="both"/>
        <w:rPr>
          <w:rFonts w:cs="Arial"/>
          <w:lang w:eastAsia="de-DE"/>
        </w:rPr>
      </w:pPr>
      <w:r w:rsidRPr="00AB664F">
        <w:rPr>
          <w:rFonts w:cs="Arial"/>
          <w:lang w:eastAsia="de-DE"/>
        </w:rPr>
        <w:t>Nach der Auffassung des BGH werden durch diese Geschäftspraxis die Nutzer in unzulässiger Art und Weise gezwungen mit Dritten eine vertragliche Beziehung einzugehen und an diese sensible Daten zu übermitteln. Des Weiteren verstoßen Kunden bei dieser Art der Zahlung gegen die Verträge mit ihren Banken, die eine solche Datenweitergabe untersagen.</w:t>
      </w:r>
    </w:p>
    <w:p w:rsidR="00AB664F" w:rsidRPr="00AB664F" w:rsidRDefault="00AB664F" w:rsidP="00AB664F">
      <w:pPr>
        <w:spacing w:after="0" w:line="360" w:lineRule="auto"/>
        <w:jc w:val="both"/>
        <w:rPr>
          <w:rFonts w:cs="Arial"/>
          <w:lang w:eastAsia="de-DE"/>
        </w:rPr>
      </w:pPr>
    </w:p>
    <w:p w:rsidR="00AB664F" w:rsidRPr="00AB664F" w:rsidRDefault="00341C26" w:rsidP="00AB664F">
      <w:pPr>
        <w:spacing w:after="0" w:line="360" w:lineRule="auto"/>
        <w:jc w:val="both"/>
        <w:rPr>
          <w:rFonts w:cs="Arial"/>
          <w:lang w:eastAsia="de-DE"/>
        </w:rPr>
      </w:pPr>
      <w:r w:rsidRPr="00AB664F">
        <w:rPr>
          <w:rFonts w:cs="Arial"/>
          <w:lang w:eastAsia="de-DE"/>
        </w:rPr>
        <w:t xml:space="preserve">Falls Sie Fragen zu dem Artikel oder zu den rechtlichen Voraussetzungen beim Betrieb von Online-Shops oder Webseite haben, können Sie uns gerne </w:t>
      </w:r>
      <w:hyperlink r:id="rId8" w:tgtFrame="_self" w:tooltip="Öffnet einen internen Link im aktuellen Fenster" w:history="1">
        <w:r w:rsidRPr="00AB664F">
          <w:rPr>
            <w:rFonts w:cs="Arial"/>
            <w:lang w:eastAsia="de-DE"/>
          </w:rPr>
          <w:t>kontaktieren</w:t>
        </w:r>
      </w:hyperlink>
      <w:r w:rsidRPr="00AB664F">
        <w:rPr>
          <w:rFonts w:cs="Arial"/>
          <w:lang w:eastAsia="de-DE"/>
        </w:rPr>
        <w:t>.</w:t>
      </w:r>
    </w:p>
    <w:p w:rsidR="00AB664F" w:rsidRDefault="00AB664F" w:rsidP="00AB664F">
      <w:pPr>
        <w:spacing w:after="0" w:line="240" w:lineRule="auto"/>
        <w:rPr>
          <w:rFonts w:cs="Arial"/>
          <w:lang w:eastAsia="de-DE"/>
        </w:rPr>
      </w:pPr>
    </w:p>
    <w:p w:rsidR="00AB664F" w:rsidRPr="00CF6856" w:rsidRDefault="00AB664F" w:rsidP="00AB664F">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AB664F" w:rsidRPr="00CF6856" w:rsidRDefault="00AB664F" w:rsidP="00AB664F">
      <w:pPr>
        <w:spacing w:after="0" w:line="240" w:lineRule="auto"/>
        <w:jc w:val="center"/>
        <w:rPr>
          <w:rFonts w:cs="Arial"/>
          <w:sz w:val="20"/>
        </w:rPr>
      </w:pPr>
    </w:p>
    <w:p w:rsidR="00AB664F" w:rsidRPr="00CF6856" w:rsidRDefault="00AB664F" w:rsidP="00AB664F">
      <w:pPr>
        <w:spacing w:after="0" w:line="240" w:lineRule="auto"/>
        <w:jc w:val="both"/>
        <w:rPr>
          <w:rFonts w:cs="Arial"/>
          <w:sz w:val="20"/>
        </w:rPr>
      </w:pPr>
    </w:p>
    <w:p w:rsidR="00AB664F" w:rsidRPr="00CF6856" w:rsidRDefault="00AB664F" w:rsidP="00AB664F">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AB664F" w:rsidRPr="00CF6856" w:rsidRDefault="00AB664F" w:rsidP="00AB664F">
      <w:pPr>
        <w:spacing w:after="0" w:line="240" w:lineRule="auto"/>
        <w:jc w:val="both"/>
        <w:rPr>
          <w:rFonts w:cs="Arial"/>
          <w:sz w:val="20"/>
        </w:rPr>
      </w:pPr>
    </w:p>
    <w:p w:rsidR="00AB664F" w:rsidRPr="00CF6856" w:rsidRDefault="00AB664F" w:rsidP="00AB664F">
      <w:pPr>
        <w:spacing w:after="0" w:line="240" w:lineRule="auto"/>
        <w:jc w:val="both"/>
        <w:rPr>
          <w:rFonts w:cs="Arial"/>
          <w:sz w:val="20"/>
        </w:rPr>
      </w:pPr>
      <w:r w:rsidRPr="00CF6856">
        <w:rPr>
          <w:rFonts w:cs="Arial"/>
          <w:sz w:val="20"/>
        </w:rPr>
        <w:t>Rechtsanwalt Manfred Wagner</w:t>
      </w:r>
    </w:p>
    <w:p w:rsidR="00AB664F" w:rsidRPr="00CF6856" w:rsidRDefault="00AB664F" w:rsidP="00AB664F">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AB664F" w:rsidRPr="00CF6856" w:rsidRDefault="00AB664F" w:rsidP="00AB664F">
      <w:pPr>
        <w:spacing w:after="0" w:line="240" w:lineRule="auto"/>
        <w:jc w:val="both"/>
        <w:rPr>
          <w:rFonts w:cs="Arial"/>
          <w:sz w:val="20"/>
        </w:rPr>
      </w:pPr>
      <w:r w:rsidRPr="00CF6856">
        <w:rPr>
          <w:rFonts w:cs="Arial"/>
          <w:sz w:val="20"/>
        </w:rPr>
        <w:t>Großherzog-Friedrich-Str. 40</w:t>
      </w:r>
    </w:p>
    <w:p w:rsidR="00AB664F" w:rsidRPr="00CF6856" w:rsidRDefault="00AB664F" w:rsidP="00AB664F">
      <w:pPr>
        <w:spacing w:after="0" w:line="240" w:lineRule="auto"/>
        <w:jc w:val="both"/>
        <w:rPr>
          <w:rFonts w:cs="Arial"/>
          <w:sz w:val="20"/>
        </w:rPr>
      </w:pPr>
      <w:r w:rsidRPr="00CF6856">
        <w:rPr>
          <w:rFonts w:cs="Arial"/>
          <w:sz w:val="20"/>
        </w:rPr>
        <w:t>66111 Saarbrücken</w:t>
      </w:r>
    </w:p>
    <w:p w:rsidR="00AB664F" w:rsidRPr="00CF6856" w:rsidRDefault="00AB664F" w:rsidP="00AB664F">
      <w:pPr>
        <w:spacing w:after="0" w:line="240" w:lineRule="auto"/>
        <w:jc w:val="both"/>
        <w:rPr>
          <w:rFonts w:cs="Arial"/>
          <w:sz w:val="20"/>
        </w:rPr>
      </w:pPr>
      <w:r w:rsidRPr="00CF6856">
        <w:rPr>
          <w:rFonts w:cs="Arial"/>
          <w:sz w:val="20"/>
        </w:rPr>
        <w:t xml:space="preserve"> </w:t>
      </w:r>
    </w:p>
    <w:p w:rsidR="00AB664F" w:rsidRPr="00CF6856" w:rsidRDefault="00AB664F" w:rsidP="00AB664F">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AB664F" w:rsidRPr="00CF6856" w:rsidRDefault="00AB664F" w:rsidP="00AB664F">
      <w:pPr>
        <w:spacing w:after="0" w:line="240" w:lineRule="auto"/>
        <w:jc w:val="both"/>
        <w:rPr>
          <w:rFonts w:cs="Arial"/>
          <w:sz w:val="20"/>
        </w:rPr>
      </w:pPr>
      <w:r w:rsidRPr="00CF6856">
        <w:rPr>
          <w:rFonts w:cs="Arial"/>
          <w:sz w:val="20"/>
          <w:lang w:val="it-IT"/>
        </w:rPr>
        <w:t xml:space="preserve">E-Mail: </w:t>
      </w:r>
      <w:hyperlink r:id="rId9"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10" w:history="1">
        <w:r w:rsidRPr="00CF6856">
          <w:rPr>
            <w:rFonts w:cs="Arial"/>
            <w:color w:val="0000FF"/>
            <w:sz w:val="20"/>
            <w:u w:val="single"/>
            <w:lang w:val="it-IT"/>
          </w:rPr>
          <w:t>www.webvocat.de</w:t>
        </w:r>
      </w:hyperlink>
    </w:p>
    <w:p w:rsidR="00AB664F" w:rsidRDefault="00AB664F" w:rsidP="00AB664F">
      <w:pPr>
        <w:spacing w:after="0" w:line="240" w:lineRule="auto"/>
        <w:rPr>
          <w:rFonts w:cs="Arial"/>
          <w:lang w:eastAsia="de-DE"/>
        </w:rPr>
      </w:pPr>
    </w:p>
    <w:sectPr w:rsidR="00AB664F">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3A0" w:rsidRDefault="00BF43A0" w:rsidP="00AB664F">
      <w:pPr>
        <w:spacing w:after="0" w:line="240" w:lineRule="auto"/>
      </w:pPr>
      <w:r>
        <w:separator/>
      </w:r>
    </w:p>
  </w:endnote>
  <w:endnote w:type="continuationSeparator" w:id="0">
    <w:p w:rsidR="00BF43A0" w:rsidRDefault="00BF43A0" w:rsidP="00AB6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3A0" w:rsidRDefault="00BF43A0" w:rsidP="00AB664F">
      <w:pPr>
        <w:spacing w:after="0" w:line="240" w:lineRule="auto"/>
      </w:pPr>
      <w:r>
        <w:separator/>
      </w:r>
    </w:p>
  </w:footnote>
  <w:footnote w:type="continuationSeparator" w:id="0">
    <w:p w:rsidR="00BF43A0" w:rsidRDefault="00BF43A0" w:rsidP="00AB6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64F" w:rsidRPr="00AB664F" w:rsidRDefault="00AB664F" w:rsidP="00AB664F">
    <w:pPr>
      <w:tabs>
        <w:tab w:val="center" w:pos="4819"/>
        <w:tab w:val="right" w:pos="9071"/>
      </w:tabs>
      <w:spacing w:after="0" w:line="240" w:lineRule="auto"/>
      <w:jc w:val="center"/>
      <w:rPr>
        <w:sz w:val="24"/>
        <w:szCs w:val="20"/>
        <w:lang w:eastAsia="de-DE"/>
      </w:rPr>
    </w:pPr>
    <w:r w:rsidRPr="00AB664F">
      <w:rPr>
        <w:rFonts w:cs="Arial"/>
        <w:b/>
        <w:bCs/>
        <w:sz w:val="28"/>
        <w:szCs w:val="28"/>
        <w:lang w:eastAsia="de-DE"/>
      </w:rPr>
      <w:t>mittelstandsdepesche 08-2017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C26"/>
    <w:rsid w:val="00270274"/>
    <w:rsid w:val="00341C26"/>
    <w:rsid w:val="00AB664F"/>
    <w:rsid w:val="00B51B9C"/>
    <w:rsid w:val="00B94A82"/>
    <w:rsid w:val="00BF43A0"/>
    <w:rsid w:val="00CF6856"/>
    <w:rsid w:val="00D32887"/>
    <w:rsid w:val="00EC6D5D"/>
    <w:rsid w:val="00FA12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0B6EF14-4461-44C2-9705-579D8F32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341C26"/>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341C26"/>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341C26"/>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341C26"/>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341C26"/>
    <w:rPr>
      <w:rFonts w:cs="Times New Roman"/>
    </w:rPr>
  </w:style>
  <w:style w:type="character" w:styleId="Hyperlink">
    <w:name w:val="Hyperlink"/>
    <w:basedOn w:val="Absatz-Standardschriftart"/>
    <w:uiPriority w:val="99"/>
    <w:semiHidden/>
    <w:unhideWhenUsed/>
    <w:rsid w:val="00341C26"/>
    <w:rPr>
      <w:rFonts w:cs="Times New Roman"/>
      <w:color w:val="0000FF"/>
      <w:u w:val="single"/>
    </w:rPr>
  </w:style>
  <w:style w:type="paragraph" w:customStyle="1" w:styleId="align-justify">
    <w:name w:val="align-justify"/>
    <w:basedOn w:val="Standard"/>
    <w:rsid w:val="00341C26"/>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AB66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B664F"/>
    <w:rPr>
      <w:rFonts w:cs="Times New Roman"/>
    </w:rPr>
  </w:style>
  <w:style w:type="paragraph" w:styleId="Fuzeile">
    <w:name w:val="footer"/>
    <w:basedOn w:val="Standard"/>
    <w:link w:val="FuzeileZchn"/>
    <w:uiPriority w:val="99"/>
    <w:unhideWhenUsed/>
    <w:rsid w:val="00AB664F"/>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B66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03283">
      <w:marLeft w:val="0"/>
      <w:marRight w:val="0"/>
      <w:marTop w:val="0"/>
      <w:marBottom w:val="0"/>
      <w:divBdr>
        <w:top w:val="none" w:sz="0" w:space="0" w:color="auto"/>
        <w:left w:val="none" w:sz="0" w:space="0" w:color="auto"/>
        <w:bottom w:val="none" w:sz="0" w:space="0" w:color="auto"/>
        <w:right w:val="none" w:sz="0" w:space="0" w:color="auto"/>
      </w:divBdr>
      <w:divsChild>
        <w:div w:id="93490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vocat.de/kontakt.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zbv.de/pressemitteilung/bgh-staerkt-kundenrechte-beim-bezahlen-im-inter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jure.org/dienste/vernetzung/rechtsprechung?Text=KZR%2039/16"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webvocat.de/" TargetMode="External"/><Relationship Id="rId4" Type="http://schemas.openxmlformats.org/officeDocument/2006/relationships/footnotes" Target="footnotes.xml"/><Relationship Id="rId9" Type="http://schemas.openxmlformats.org/officeDocument/2006/relationships/hyperlink" Target="mailto:wagner@webvoca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2E78A30B.dotm</Template>
  <TotalTime>0</TotalTime>
  <Pages>2</Pages>
  <Words>345</Words>
  <Characters>2176</Characters>
  <Application>Microsoft Office Word</Application>
  <DocSecurity>0</DocSecurity>
  <Lines>18</Lines>
  <Paragraphs>5</Paragraphs>
  <ScaleCrop>false</ScaleCrop>
  <HeadingPairs>
    <vt:vector size="4" baseType="variant">
      <vt:variant>
        <vt:lpstr>Titel</vt:lpstr>
      </vt:variant>
      <vt:variant>
        <vt:i4>1</vt:i4>
      </vt:variant>
      <vt:variant>
        <vt:lpstr>Überschriften</vt:lpstr>
      </vt:variant>
      <vt:variant>
        <vt:i4>6</vt:i4>
      </vt:variant>
    </vt:vector>
  </HeadingPairs>
  <TitlesOfParts>
    <vt:vector size="7" baseType="lpstr">
      <vt:lpstr/>
      <vt:lpstr/>
      <vt:lpstr>Sofortüberweisung“ als einzige kostenlose Bezahlmethode nicht ausreichend</vt:lpstr>
      <vt:lpstr>    </vt:lpstr>
      <vt:lpstr>    </vt:lpstr>
      <vt:lpstr>    Der BGH hat mit Urteil vom 18. Juli 2017 (Az.: KZR 39/16) entschieden, dass das </vt:lpstr>
      <vt: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2017-09-04T06:26:00Z</dcterms:created>
  <dcterms:modified xsi:type="dcterms:W3CDTF">2017-09-04T06:26:00Z</dcterms:modified>
</cp:coreProperties>
</file>