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2A" w:rsidRPr="00930FAF" w:rsidRDefault="00DB7C2A" w:rsidP="00DB7C2A">
      <w:pPr>
        <w:tabs>
          <w:tab w:val="center" w:pos="4536"/>
          <w:tab w:val="right" w:pos="9072"/>
        </w:tabs>
        <w:spacing w:line="259" w:lineRule="auto"/>
        <w:jc w:val="right"/>
        <w:rPr>
          <w:rFonts w:ascii="Calibri" w:hAnsi="Calibri"/>
          <w:sz w:val="22"/>
          <w:szCs w:val="22"/>
          <w:lang w:eastAsia="en-US"/>
        </w:rPr>
      </w:pPr>
      <w:bookmarkStart w:id="0" w:name="_GoBack"/>
      <w:bookmarkEnd w:id="0"/>
      <w:r w:rsidRPr="00930FAF">
        <w:rPr>
          <w:rFonts w:ascii="Arial" w:hAnsi="Arial" w:cs="Arial"/>
          <w:b/>
          <w:bCs/>
          <w:sz w:val="40"/>
          <w:szCs w:val="40"/>
          <w:lang w:eastAsia="en-US"/>
        </w:rPr>
        <w:t>DASV</w:t>
      </w:r>
    </w:p>
    <w:p w:rsidR="00DB7C2A" w:rsidRPr="00930FAF" w:rsidRDefault="00DB7C2A" w:rsidP="00DB7C2A">
      <w:pPr>
        <w:spacing w:line="259" w:lineRule="auto"/>
        <w:jc w:val="right"/>
        <w:rPr>
          <w:rFonts w:ascii="Arial" w:hAnsi="Arial" w:cs="Arial"/>
          <w:sz w:val="20"/>
          <w:szCs w:val="20"/>
          <w:lang w:eastAsia="en-US"/>
        </w:rPr>
      </w:pPr>
      <w:bookmarkStart w:id="1" w:name="2"/>
      <w:bookmarkStart w:id="2" w:name="9"/>
      <w:bookmarkEnd w:id="1"/>
      <w:bookmarkEnd w:id="2"/>
      <w:r w:rsidRPr="00930FAF">
        <w:rPr>
          <w:rFonts w:ascii="Arial" w:hAnsi="Arial" w:cs="Arial"/>
          <w:sz w:val="20"/>
          <w:szCs w:val="20"/>
          <w:lang w:eastAsia="en-US"/>
        </w:rPr>
        <w:t>Deutsche Anwalts- und</w:t>
      </w:r>
    </w:p>
    <w:p w:rsidR="00DB7C2A" w:rsidRPr="00930FAF" w:rsidRDefault="00DB7C2A" w:rsidP="00DB7C2A">
      <w:pPr>
        <w:spacing w:line="259" w:lineRule="auto"/>
        <w:jc w:val="right"/>
        <w:rPr>
          <w:rFonts w:ascii="Arial" w:hAnsi="Arial" w:cs="Arial"/>
          <w:sz w:val="20"/>
          <w:szCs w:val="20"/>
          <w:lang w:eastAsia="en-US"/>
        </w:rPr>
      </w:pPr>
      <w:r w:rsidRPr="00930FAF">
        <w:rPr>
          <w:rFonts w:ascii="Arial" w:hAnsi="Arial" w:cs="Arial"/>
          <w:sz w:val="20"/>
          <w:szCs w:val="20"/>
          <w:lang w:eastAsia="en-US"/>
        </w:rPr>
        <w:t>Steuerberatervereinigung</w:t>
      </w:r>
    </w:p>
    <w:p w:rsidR="00DB7C2A" w:rsidRPr="00930FAF" w:rsidRDefault="00DB7C2A" w:rsidP="00DB7C2A">
      <w:pPr>
        <w:spacing w:line="259" w:lineRule="auto"/>
        <w:jc w:val="right"/>
        <w:rPr>
          <w:rFonts w:ascii="Arial" w:hAnsi="Arial" w:cs="Arial"/>
          <w:sz w:val="20"/>
          <w:szCs w:val="20"/>
          <w:lang w:eastAsia="en-US"/>
        </w:rPr>
      </w:pPr>
      <w:r w:rsidRPr="00930FAF">
        <w:rPr>
          <w:rFonts w:ascii="Arial" w:hAnsi="Arial" w:cs="Arial"/>
          <w:sz w:val="20"/>
          <w:szCs w:val="20"/>
          <w:lang w:eastAsia="en-US"/>
        </w:rPr>
        <w:t>für die mittelständische</w:t>
      </w:r>
    </w:p>
    <w:p w:rsidR="00DB7C2A" w:rsidRPr="00930FAF" w:rsidRDefault="00DB7C2A" w:rsidP="00DB7C2A">
      <w:pPr>
        <w:spacing w:line="259" w:lineRule="auto"/>
        <w:jc w:val="right"/>
        <w:rPr>
          <w:rFonts w:ascii="Arial" w:hAnsi="Arial" w:cs="Arial"/>
          <w:sz w:val="22"/>
          <w:szCs w:val="22"/>
          <w:lang w:eastAsia="en-US"/>
        </w:rPr>
      </w:pPr>
      <w:r w:rsidRPr="00930FAF">
        <w:rPr>
          <w:rFonts w:ascii="Arial" w:hAnsi="Arial" w:cs="Arial"/>
          <w:sz w:val="20"/>
          <w:szCs w:val="20"/>
          <w:lang w:eastAsia="en-US"/>
        </w:rPr>
        <w:tab/>
        <w:t>Wirtschaft e. V.</w:t>
      </w:r>
    </w:p>
    <w:p w:rsidR="00DB7C2A" w:rsidRDefault="00DB7C2A" w:rsidP="00DB7C2A">
      <w:pPr>
        <w:jc w:val="center"/>
        <w:rPr>
          <w:rFonts w:ascii="Arial" w:hAnsi="Arial" w:cs="Arial"/>
          <w:b/>
          <w:bCs/>
          <w:sz w:val="20"/>
          <w:szCs w:val="20"/>
        </w:rPr>
      </w:pPr>
    </w:p>
    <w:p w:rsidR="00DB7C2A" w:rsidRPr="00930FAF" w:rsidRDefault="00DB7C2A" w:rsidP="00DB7C2A">
      <w:pPr>
        <w:jc w:val="center"/>
        <w:rPr>
          <w:rFonts w:ascii="Arial" w:hAnsi="Arial" w:cs="Arial"/>
          <w:b/>
          <w:bCs/>
          <w:sz w:val="20"/>
          <w:szCs w:val="20"/>
        </w:rPr>
      </w:pPr>
      <w:r w:rsidRPr="00930FAF">
        <w:rPr>
          <w:rFonts w:ascii="Arial" w:hAnsi="Arial" w:cs="Arial"/>
          <w:b/>
          <w:bCs/>
          <w:sz w:val="20"/>
          <w:szCs w:val="20"/>
        </w:rPr>
        <w:t>10 Urteile, die Ihre Leser interessieren könnten</w:t>
      </w:r>
    </w:p>
    <w:p w:rsidR="00DB7C2A" w:rsidRPr="00930FAF" w:rsidRDefault="00DB7C2A" w:rsidP="00DB7C2A">
      <w:pPr>
        <w:jc w:val="center"/>
        <w:rPr>
          <w:rFonts w:ascii="Arial" w:hAnsi="Arial" w:cs="Arial"/>
          <w:b/>
          <w:bCs/>
          <w:sz w:val="20"/>
          <w:szCs w:val="20"/>
        </w:rPr>
      </w:pPr>
    </w:p>
    <w:p w:rsidR="00DB7C2A" w:rsidRPr="00930FAF" w:rsidRDefault="00DB7C2A" w:rsidP="00DB7C2A">
      <w:pPr>
        <w:jc w:val="center"/>
        <w:rPr>
          <w:rFonts w:ascii="Arial" w:hAnsi="Arial" w:cs="Arial"/>
          <w:sz w:val="20"/>
          <w:szCs w:val="20"/>
        </w:rPr>
      </w:pPr>
      <w:r w:rsidRPr="00930FAF">
        <w:rPr>
          <w:rFonts w:ascii="Arial" w:hAnsi="Arial" w:cs="Arial"/>
          <w:sz w:val="20"/>
          <w:szCs w:val="20"/>
        </w:rPr>
        <w:t>zusammengestellt von Rechtsanwalt/Fachanwalt für Arbeitsrecht u. Fachanwalt für Erbrecht</w:t>
      </w:r>
    </w:p>
    <w:p w:rsidR="00DB7C2A" w:rsidRPr="00930FAF" w:rsidRDefault="00DB7C2A" w:rsidP="00DB7C2A">
      <w:pPr>
        <w:spacing w:before="60" w:after="15" w:line="259" w:lineRule="auto"/>
        <w:ind w:right="540"/>
        <w:jc w:val="center"/>
        <w:rPr>
          <w:rFonts w:ascii="Arial" w:hAnsi="Arial" w:cs="Arial"/>
          <w:bCs/>
          <w:sz w:val="20"/>
          <w:szCs w:val="20"/>
          <w:lang w:eastAsia="en-US"/>
        </w:rPr>
      </w:pPr>
      <w:r w:rsidRPr="00930FAF">
        <w:rPr>
          <w:rFonts w:ascii="Arial" w:hAnsi="Arial" w:cs="Arial"/>
          <w:bCs/>
          <w:sz w:val="20"/>
          <w:szCs w:val="20"/>
          <w:lang w:eastAsia="en-US"/>
        </w:rPr>
        <w:t>Michael Henn, Stuttgart</w:t>
      </w:r>
    </w:p>
    <w:p w:rsidR="00DB7C2A" w:rsidRPr="00DB7C2A" w:rsidRDefault="00DB7C2A" w:rsidP="00DB7C2A">
      <w:pPr>
        <w:pStyle w:val="berschrift3"/>
        <w:spacing w:after="0" w:line="240" w:lineRule="auto"/>
        <w:rPr>
          <w:rFonts w:ascii="Arial" w:hAnsi="Arial" w:cs="Arial"/>
          <w:b w:val="0"/>
          <w:sz w:val="20"/>
          <w:szCs w:val="20"/>
        </w:rPr>
      </w:pPr>
    </w:p>
    <w:p w:rsidR="00D32887" w:rsidRPr="00DB7C2A" w:rsidRDefault="00DB7C2A" w:rsidP="00DB7C2A">
      <w:pPr>
        <w:jc w:val="center"/>
        <w:rPr>
          <w:rFonts w:ascii="Arial" w:hAnsi="Arial" w:cs="Arial"/>
          <w:b/>
          <w:sz w:val="20"/>
          <w:szCs w:val="20"/>
        </w:rPr>
      </w:pPr>
      <w:r w:rsidRPr="00DB7C2A">
        <w:rPr>
          <w:rFonts w:ascii="Arial" w:hAnsi="Arial" w:cs="Arial"/>
          <w:b/>
          <w:sz w:val="20"/>
          <w:szCs w:val="20"/>
        </w:rPr>
        <w:t>I.</w:t>
      </w:r>
    </w:p>
    <w:p w:rsidR="006C2122" w:rsidRPr="00DB7C2A" w:rsidRDefault="006C2122" w:rsidP="00DB7C2A">
      <w:pPr>
        <w:pStyle w:val="berschrift3"/>
        <w:spacing w:after="0" w:line="240" w:lineRule="auto"/>
        <w:jc w:val="center"/>
        <w:rPr>
          <w:rFonts w:ascii="Arial" w:hAnsi="Arial" w:cs="Arial"/>
          <w:sz w:val="20"/>
          <w:szCs w:val="20"/>
        </w:rPr>
      </w:pPr>
      <w:r w:rsidRPr="00DB7C2A">
        <w:rPr>
          <w:rFonts w:ascii="Arial" w:hAnsi="Arial" w:cs="Arial"/>
          <w:sz w:val="20"/>
          <w:szCs w:val="20"/>
        </w:rPr>
        <w:t>Verjährung des Anspruchs auf Erteilung eines Buchauszugs</w:t>
      </w:r>
    </w:p>
    <w:p w:rsidR="006C2122" w:rsidRDefault="00DB7C2A" w:rsidP="00DB7C2A">
      <w:pPr>
        <w:pStyle w:val="berschrift4"/>
        <w:spacing w:after="0"/>
        <w:jc w:val="center"/>
        <w:rPr>
          <w:rFonts w:ascii="Arial" w:hAnsi="Arial" w:cs="Arial"/>
          <w:color w:val="auto"/>
          <w:sz w:val="20"/>
          <w:szCs w:val="20"/>
        </w:rPr>
      </w:pPr>
      <w:r w:rsidRPr="00DB7C2A">
        <w:rPr>
          <w:rFonts w:ascii="Arial" w:hAnsi="Arial" w:cs="Arial"/>
          <w:color w:val="auto"/>
          <w:sz w:val="20"/>
          <w:szCs w:val="20"/>
        </w:rPr>
        <w:t xml:space="preserve">BGH, </w:t>
      </w:r>
      <w:r w:rsidR="006C2122" w:rsidRPr="00DB7C2A">
        <w:rPr>
          <w:rFonts w:ascii="Arial" w:hAnsi="Arial" w:cs="Arial"/>
          <w:color w:val="auto"/>
          <w:sz w:val="20"/>
          <w:szCs w:val="20"/>
        </w:rPr>
        <w:t>Urteil vom 03.08.2017, Az: VII ZR 32/17</w:t>
      </w:r>
    </w:p>
    <w:p w:rsidR="00DB7C2A" w:rsidRPr="00DB7C2A" w:rsidRDefault="00DB7C2A" w:rsidP="00DB7C2A">
      <w:pPr>
        <w:pStyle w:val="berschrift4"/>
        <w:spacing w:after="0"/>
        <w:jc w:val="center"/>
        <w:rPr>
          <w:rFonts w:ascii="Arial" w:hAnsi="Arial" w:cs="Arial"/>
          <w:color w:val="auto"/>
          <w:sz w:val="20"/>
          <w:szCs w:val="20"/>
        </w:rPr>
      </w:pPr>
    </w:p>
    <w:p w:rsidR="00DB7C2A" w:rsidRDefault="00DB7C2A" w:rsidP="00DB7C2A">
      <w:pPr>
        <w:jc w:val="both"/>
        <w:rPr>
          <w:rFonts w:ascii="Arial" w:hAnsi="Arial" w:cs="Arial"/>
          <w:sz w:val="20"/>
          <w:szCs w:val="20"/>
        </w:rPr>
      </w:pPr>
      <w:r w:rsidRPr="00DB7C2A">
        <w:rPr>
          <w:rFonts w:ascii="Arial" w:hAnsi="Arial" w:cs="Arial"/>
          <w:sz w:val="20"/>
          <w:szCs w:val="20"/>
        </w:rPr>
        <w:t>a</w:t>
      </w:r>
      <w:r>
        <w:rPr>
          <w:rFonts w:ascii="Arial" w:hAnsi="Arial" w:cs="Arial"/>
          <w:sz w:val="20"/>
          <w:szCs w:val="20"/>
        </w:rPr>
        <w:t xml:space="preserve">) </w:t>
      </w:r>
      <w:r w:rsidR="006C2122" w:rsidRPr="00DB7C2A">
        <w:rPr>
          <w:rFonts w:ascii="Arial" w:hAnsi="Arial" w:cs="Arial"/>
          <w:sz w:val="20"/>
          <w:szCs w:val="20"/>
        </w:rPr>
        <w:t>Die Verjährung des Anspruchs des Handelsvertreters auf Erteilung eines Buchauszugs nach § 87c Abs. 2 HGB beginnt regelmäßig mit dem Schluss des Jahres, in dem der Unternehmer dem Handelsvertreter eine abschließende Abrechnung über die diesem zustehende Provision erteilt hat.</w:t>
      </w:r>
    </w:p>
    <w:p w:rsidR="00DB7C2A" w:rsidRDefault="00DB7C2A" w:rsidP="00DB7C2A">
      <w:pPr>
        <w:jc w:val="both"/>
        <w:rPr>
          <w:rFonts w:ascii="Arial" w:hAnsi="Arial" w:cs="Arial"/>
          <w:sz w:val="20"/>
          <w:szCs w:val="20"/>
        </w:rPr>
      </w:pPr>
    </w:p>
    <w:p w:rsidR="006C2122" w:rsidRDefault="006C2122" w:rsidP="00DB7C2A">
      <w:pPr>
        <w:jc w:val="both"/>
        <w:rPr>
          <w:rFonts w:ascii="Arial" w:hAnsi="Arial" w:cs="Arial"/>
          <w:sz w:val="20"/>
          <w:szCs w:val="20"/>
        </w:rPr>
      </w:pPr>
      <w:r w:rsidRPr="00DB7C2A">
        <w:rPr>
          <w:rFonts w:ascii="Arial" w:hAnsi="Arial" w:cs="Arial"/>
          <w:sz w:val="20"/>
          <w:szCs w:val="20"/>
        </w:rPr>
        <w:t>b) Der Handelsvertreter ist, wenn der Unternehmer die Erteilung einer Abrechnung über die dem Handelsvertreter zustehende Provision verweigert, obwohl er zur Abrechnung verpflichtet ist, grundsätzlich berechtigt, die Vorlage eines Buchauszugs zusammen mit der Abrechnung über die Provision gerichtlich geltend zu machen (Abgrenzung zu BGH, Beschluss vom 2</w:t>
      </w:r>
      <w:r w:rsidR="00DB7C2A">
        <w:rPr>
          <w:rFonts w:ascii="Arial" w:hAnsi="Arial" w:cs="Arial"/>
          <w:sz w:val="20"/>
          <w:szCs w:val="20"/>
        </w:rPr>
        <w:t>0. Mai 2014 - VII ZR 187/13 ).</w:t>
      </w:r>
    </w:p>
    <w:p w:rsidR="00DB7C2A" w:rsidRDefault="00DB7C2A" w:rsidP="00DB7C2A">
      <w:pPr>
        <w:jc w:val="both"/>
        <w:rPr>
          <w:rFonts w:ascii="Arial" w:hAnsi="Arial" w:cs="Arial"/>
          <w:sz w:val="20"/>
          <w:szCs w:val="20"/>
        </w:rPr>
      </w:pPr>
    </w:p>
    <w:p w:rsidR="00D85A96" w:rsidRDefault="00D85A96" w:rsidP="00D85A96">
      <w:pPr>
        <w:pStyle w:val="berschrift3"/>
        <w:spacing w:after="0" w:line="240" w:lineRule="auto"/>
        <w:jc w:val="center"/>
        <w:rPr>
          <w:rFonts w:ascii="Arial" w:hAnsi="Arial" w:cs="Arial"/>
          <w:sz w:val="20"/>
          <w:szCs w:val="20"/>
        </w:rPr>
      </w:pPr>
      <w:r>
        <w:rPr>
          <w:rFonts w:ascii="Arial" w:hAnsi="Arial" w:cs="Arial"/>
          <w:sz w:val="20"/>
          <w:szCs w:val="20"/>
        </w:rPr>
        <w:t>II.</w:t>
      </w:r>
    </w:p>
    <w:p w:rsidR="006C2122" w:rsidRPr="00DB7C2A" w:rsidRDefault="006C2122" w:rsidP="00D85A96">
      <w:pPr>
        <w:pStyle w:val="berschrift3"/>
        <w:spacing w:after="0" w:line="240" w:lineRule="auto"/>
        <w:jc w:val="center"/>
        <w:rPr>
          <w:rFonts w:ascii="Arial" w:hAnsi="Arial" w:cs="Arial"/>
          <w:sz w:val="20"/>
          <w:szCs w:val="20"/>
        </w:rPr>
      </w:pPr>
      <w:r w:rsidRPr="00DB7C2A">
        <w:rPr>
          <w:rFonts w:ascii="Arial" w:hAnsi="Arial" w:cs="Arial"/>
          <w:sz w:val="20"/>
          <w:szCs w:val="20"/>
        </w:rPr>
        <w:t>Klausel zu Festpreisen im Einheitspreisbauvertrag</w:t>
      </w:r>
    </w:p>
    <w:p w:rsidR="006C2122" w:rsidRPr="00DB7C2A" w:rsidRDefault="00D85A96" w:rsidP="00D85A96">
      <w:pPr>
        <w:jc w:val="center"/>
        <w:rPr>
          <w:rFonts w:ascii="Arial" w:hAnsi="Arial" w:cs="Arial"/>
          <w:sz w:val="20"/>
          <w:szCs w:val="20"/>
        </w:rPr>
      </w:pPr>
      <w:r>
        <w:rPr>
          <w:rFonts w:ascii="Arial" w:hAnsi="Arial" w:cs="Arial"/>
          <w:sz w:val="20"/>
          <w:szCs w:val="20"/>
        </w:rPr>
        <w:t xml:space="preserve">BGH, </w:t>
      </w:r>
      <w:r w:rsidR="006C2122" w:rsidRPr="00DB7C2A">
        <w:rPr>
          <w:rFonts w:ascii="Arial" w:hAnsi="Arial" w:cs="Arial"/>
          <w:sz w:val="20"/>
          <w:szCs w:val="20"/>
        </w:rPr>
        <w:t>Urteil vom 20.07.2017, Az: VII ZR 259/16</w:t>
      </w:r>
    </w:p>
    <w:p w:rsidR="00D85A96" w:rsidRDefault="00D85A96" w:rsidP="00DB7C2A">
      <w:pPr>
        <w:rPr>
          <w:rFonts w:ascii="Arial" w:hAnsi="Arial" w:cs="Arial"/>
          <w:sz w:val="20"/>
          <w:szCs w:val="20"/>
        </w:rPr>
      </w:pPr>
    </w:p>
    <w:p w:rsidR="006C2122" w:rsidRPr="00DB7C2A" w:rsidRDefault="006C2122" w:rsidP="00D85A96">
      <w:pPr>
        <w:jc w:val="both"/>
        <w:rPr>
          <w:rFonts w:ascii="Arial" w:hAnsi="Arial" w:cs="Arial"/>
          <w:sz w:val="20"/>
          <w:szCs w:val="20"/>
        </w:rPr>
      </w:pPr>
      <w:r w:rsidRPr="00DB7C2A">
        <w:rPr>
          <w:rFonts w:ascii="Arial" w:hAnsi="Arial" w:cs="Arial"/>
          <w:sz w:val="20"/>
          <w:szCs w:val="20"/>
        </w:rPr>
        <w:t>Die in Allgemeinen Geschäftsbedingungen des Auftraggebers eines Einheitspreis</w:t>
      </w:r>
      <w:r w:rsidR="00557845">
        <w:rPr>
          <w:rFonts w:ascii="Arial" w:hAnsi="Arial" w:cs="Arial"/>
          <w:sz w:val="20"/>
          <w:szCs w:val="20"/>
        </w:rPr>
        <w:t>b</w:t>
      </w:r>
      <w:r w:rsidRPr="00DB7C2A">
        <w:rPr>
          <w:rFonts w:ascii="Arial" w:hAnsi="Arial" w:cs="Arial"/>
          <w:sz w:val="20"/>
          <w:szCs w:val="20"/>
        </w:rPr>
        <w:t>auvertrags enthaltene Klausel</w:t>
      </w:r>
      <w:r w:rsidR="00D85A96">
        <w:rPr>
          <w:rFonts w:ascii="Arial" w:hAnsi="Arial" w:cs="Arial"/>
          <w:sz w:val="20"/>
          <w:szCs w:val="20"/>
        </w:rPr>
        <w:t xml:space="preserve"> </w:t>
      </w:r>
      <w:r w:rsidRPr="00DB7C2A">
        <w:rPr>
          <w:rFonts w:ascii="Arial" w:hAnsi="Arial" w:cs="Arial"/>
          <w:sz w:val="20"/>
          <w:szCs w:val="20"/>
        </w:rPr>
        <w:t xml:space="preserve">"Die dem Angebot des Auftragnehmers zugrunde liegenden Preise sind grundsätzlich Festpreise und bleiben für die gesamte Vertragsdauer verbindlich." </w:t>
      </w:r>
    </w:p>
    <w:p w:rsidR="006C2122" w:rsidRPr="00DB7C2A" w:rsidRDefault="006C2122" w:rsidP="00D85A96">
      <w:pPr>
        <w:jc w:val="both"/>
        <w:rPr>
          <w:rFonts w:ascii="Arial" w:hAnsi="Arial" w:cs="Arial"/>
          <w:sz w:val="20"/>
          <w:szCs w:val="20"/>
        </w:rPr>
      </w:pPr>
      <w:r w:rsidRPr="00DB7C2A">
        <w:rPr>
          <w:rFonts w:ascii="Arial" w:hAnsi="Arial" w:cs="Arial"/>
          <w:sz w:val="20"/>
          <w:szCs w:val="20"/>
        </w:rPr>
        <w:t>benachteiligt den Auftragnehmer unangemessen und ist daher unwirksam.</w:t>
      </w:r>
    </w:p>
    <w:p w:rsidR="006C2122" w:rsidRPr="00DB7C2A" w:rsidRDefault="006C2122" w:rsidP="00DB7C2A">
      <w:pPr>
        <w:rPr>
          <w:rFonts w:ascii="Arial" w:hAnsi="Arial" w:cs="Arial"/>
          <w:sz w:val="20"/>
          <w:szCs w:val="20"/>
        </w:rPr>
      </w:pPr>
    </w:p>
    <w:p w:rsidR="006C2122" w:rsidRPr="00D85A96" w:rsidRDefault="00D85A96" w:rsidP="00D85A96">
      <w:pPr>
        <w:jc w:val="center"/>
        <w:rPr>
          <w:rFonts w:ascii="Arial" w:hAnsi="Arial" w:cs="Arial"/>
          <w:b/>
          <w:sz w:val="20"/>
          <w:szCs w:val="20"/>
        </w:rPr>
      </w:pPr>
      <w:r w:rsidRPr="00D85A96">
        <w:rPr>
          <w:rFonts w:ascii="Arial" w:hAnsi="Arial" w:cs="Arial"/>
          <w:b/>
          <w:sz w:val="20"/>
          <w:szCs w:val="20"/>
        </w:rPr>
        <w:t>III.</w:t>
      </w:r>
    </w:p>
    <w:p w:rsidR="006C2122" w:rsidRPr="00D85A96" w:rsidRDefault="006C2122" w:rsidP="00D85A96">
      <w:pPr>
        <w:pStyle w:val="berschrift3"/>
        <w:spacing w:after="0" w:line="240" w:lineRule="auto"/>
        <w:jc w:val="center"/>
        <w:rPr>
          <w:rFonts w:ascii="Arial" w:hAnsi="Arial" w:cs="Arial"/>
          <w:sz w:val="20"/>
          <w:szCs w:val="20"/>
        </w:rPr>
      </w:pPr>
      <w:r w:rsidRPr="00D85A96">
        <w:rPr>
          <w:rFonts w:ascii="Arial" w:hAnsi="Arial" w:cs="Arial"/>
          <w:sz w:val="20"/>
          <w:szCs w:val="20"/>
        </w:rPr>
        <w:t>Unwirksame Schadensbeseitigungsklausel in Architektenvertrag</w:t>
      </w:r>
    </w:p>
    <w:p w:rsidR="006C2122" w:rsidRPr="00D85A96" w:rsidRDefault="00D85A96" w:rsidP="00D85A96">
      <w:pPr>
        <w:pStyle w:val="berschrift4"/>
        <w:spacing w:after="0"/>
        <w:jc w:val="center"/>
        <w:rPr>
          <w:rFonts w:ascii="Arial" w:hAnsi="Arial" w:cs="Arial"/>
          <w:color w:val="auto"/>
          <w:sz w:val="20"/>
          <w:szCs w:val="20"/>
        </w:rPr>
      </w:pPr>
      <w:r w:rsidRPr="00D85A96">
        <w:rPr>
          <w:rFonts w:ascii="Arial" w:hAnsi="Arial" w:cs="Arial"/>
          <w:color w:val="auto"/>
          <w:sz w:val="20"/>
          <w:szCs w:val="20"/>
        </w:rPr>
        <w:t xml:space="preserve">BGH, </w:t>
      </w:r>
      <w:r w:rsidR="006C2122" w:rsidRPr="00D85A96">
        <w:rPr>
          <w:rFonts w:ascii="Arial" w:hAnsi="Arial" w:cs="Arial"/>
          <w:color w:val="auto"/>
          <w:sz w:val="20"/>
          <w:szCs w:val="20"/>
        </w:rPr>
        <w:t>Urteil vom 16.02.2017, Az: VII ZR 242/13</w:t>
      </w:r>
    </w:p>
    <w:p w:rsidR="00D85A96" w:rsidRDefault="00D85A96" w:rsidP="00DB7C2A">
      <w:pPr>
        <w:rPr>
          <w:rFonts w:ascii="Arial" w:hAnsi="Arial" w:cs="Arial"/>
          <w:sz w:val="20"/>
          <w:szCs w:val="20"/>
        </w:rPr>
      </w:pPr>
    </w:p>
    <w:p w:rsidR="006C2122" w:rsidRPr="00DB7C2A" w:rsidRDefault="006C2122" w:rsidP="00D85A96">
      <w:pPr>
        <w:jc w:val="both"/>
        <w:rPr>
          <w:rFonts w:ascii="Arial" w:hAnsi="Arial" w:cs="Arial"/>
          <w:sz w:val="20"/>
          <w:szCs w:val="20"/>
        </w:rPr>
      </w:pPr>
      <w:r w:rsidRPr="00DB7C2A">
        <w:rPr>
          <w:rFonts w:ascii="Arial" w:hAnsi="Arial" w:cs="Arial"/>
          <w:sz w:val="20"/>
          <w:szCs w:val="20"/>
        </w:rPr>
        <w:t>Die von einem Architekten als Allgemeine Geschäftsbedingung gestellte Vertragsbestimmung in einem Architektenvertrag:</w:t>
      </w:r>
    </w:p>
    <w:p w:rsidR="006C2122" w:rsidRPr="00DB7C2A" w:rsidRDefault="006C2122" w:rsidP="00D85A96">
      <w:pPr>
        <w:jc w:val="both"/>
        <w:rPr>
          <w:rFonts w:ascii="Arial" w:hAnsi="Arial" w:cs="Arial"/>
          <w:sz w:val="20"/>
          <w:szCs w:val="20"/>
        </w:rPr>
      </w:pPr>
      <w:r w:rsidRPr="00DB7C2A">
        <w:rPr>
          <w:rFonts w:ascii="Arial" w:hAnsi="Arial" w:cs="Arial"/>
          <w:sz w:val="20"/>
          <w:szCs w:val="20"/>
        </w:rPr>
        <w:t>"Wird der Architekt wegen eines Schadens am Bauwerk auf Schadensersatz in Geld in Anspruch genommen, kann er vom Bauherrn verlangen, dass ihm die Beseitigung des Schadens übertragen wird." ist wegen Verstoßes gegen § 307 Abs. 1 Satz 1 BGB unwirksam (Abgrenzung zu BGH, Urteil vom 9. April 1981 - VII ZR 263/79 ,BauR 1981, 395).</w:t>
      </w:r>
    </w:p>
    <w:p w:rsidR="00D5042F" w:rsidRDefault="00D5042F" w:rsidP="006C2122">
      <w:pPr>
        <w:rPr>
          <w:rFonts w:ascii="Arial" w:hAnsi="Arial" w:cs="Arial"/>
          <w:sz w:val="20"/>
          <w:szCs w:val="20"/>
        </w:rPr>
      </w:pPr>
    </w:p>
    <w:p w:rsidR="00D85A96" w:rsidRPr="00D85A96" w:rsidRDefault="00D85A96" w:rsidP="00D85A96">
      <w:pPr>
        <w:jc w:val="center"/>
        <w:rPr>
          <w:rFonts w:ascii="Arial" w:hAnsi="Arial" w:cs="Arial"/>
          <w:b/>
          <w:sz w:val="20"/>
          <w:szCs w:val="20"/>
        </w:rPr>
      </w:pPr>
      <w:r w:rsidRPr="00D85A96">
        <w:rPr>
          <w:rFonts w:ascii="Arial" w:hAnsi="Arial" w:cs="Arial"/>
          <w:b/>
          <w:sz w:val="20"/>
          <w:szCs w:val="20"/>
        </w:rPr>
        <w:t>IV.</w:t>
      </w:r>
    </w:p>
    <w:p w:rsidR="00D85A96" w:rsidRPr="00D85A96" w:rsidRDefault="00D85A96" w:rsidP="00D85A96">
      <w:pPr>
        <w:pStyle w:val="StandardWeb"/>
        <w:spacing w:before="0" w:beforeAutospacing="0" w:after="0" w:afterAutospacing="0"/>
        <w:jc w:val="center"/>
        <w:rPr>
          <w:rFonts w:ascii="Arial" w:hAnsi="Arial" w:cs="Arial"/>
          <w:b/>
          <w:sz w:val="20"/>
          <w:szCs w:val="20"/>
        </w:rPr>
      </w:pPr>
      <w:r w:rsidRPr="00D85A96">
        <w:rPr>
          <w:rFonts w:ascii="Arial" w:hAnsi="Arial" w:cs="Arial"/>
          <w:b/>
          <w:sz w:val="20"/>
          <w:szCs w:val="20"/>
        </w:rPr>
        <w:t>Außerordentliche Kündigung eines Geschäftsführerdienstvertrags: Voraussetzungen eines wichtigen Grundes für die Kündigung; Beweislastverteilung</w:t>
      </w:r>
    </w:p>
    <w:p w:rsidR="00D85A96" w:rsidRPr="00D85A96" w:rsidRDefault="00D85A96" w:rsidP="00D85A96">
      <w:pPr>
        <w:pStyle w:val="StandardWeb"/>
        <w:spacing w:before="0" w:beforeAutospacing="0" w:after="0" w:afterAutospacing="0"/>
        <w:jc w:val="center"/>
        <w:rPr>
          <w:rFonts w:ascii="Arial" w:hAnsi="Arial" w:cs="Arial"/>
          <w:sz w:val="20"/>
          <w:szCs w:val="20"/>
        </w:rPr>
      </w:pPr>
      <w:r w:rsidRPr="00D85A96">
        <w:rPr>
          <w:rFonts w:ascii="Arial" w:hAnsi="Arial" w:cs="Arial"/>
          <w:sz w:val="20"/>
          <w:szCs w:val="20"/>
        </w:rPr>
        <w:t>OLG München, Urteil vom 22. Juni 2017</w:t>
      </w:r>
      <w:r>
        <w:rPr>
          <w:rFonts w:ascii="Arial" w:hAnsi="Arial" w:cs="Arial"/>
          <w:sz w:val="20"/>
          <w:szCs w:val="20"/>
        </w:rPr>
        <w:t>, Az.</w:t>
      </w:r>
      <w:r w:rsidRPr="00D85A96">
        <w:rPr>
          <w:rFonts w:ascii="Arial" w:hAnsi="Arial" w:cs="Arial"/>
          <w:sz w:val="20"/>
          <w:szCs w:val="20"/>
        </w:rPr>
        <w:t xml:space="preserve"> 23 U 3293/16</w:t>
      </w:r>
    </w:p>
    <w:p w:rsidR="00D85A96" w:rsidRPr="00D85A96" w:rsidRDefault="00D85A96" w:rsidP="00D85A96">
      <w:pPr>
        <w:jc w:val="both"/>
        <w:rPr>
          <w:rFonts w:ascii="Arial" w:hAnsi="Arial" w:cs="Arial"/>
          <w:sz w:val="20"/>
          <w:szCs w:val="20"/>
        </w:rPr>
      </w:pPr>
    </w:p>
    <w:p w:rsidR="00D5042F" w:rsidRPr="00D85A96" w:rsidRDefault="00D5042F" w:rsidP="00D85A96">
      <w:pPr>
        <w:pStyle w:val="StandardWeb"/>
        <w:spacing w:before="0" w:beforeAutospacing="0" w:after="0" w:afterAutospacing="0"/>
        <w:jc w:val="both"/>
        <w:rPr>
          <w:rFonts w:ascii="Arial" w:hAnsi="Arial" w:cs="Arial"/>
          <w:sz w:val="20"/>
          <w:szCs w:val="20"/>
        </w:rPr>
      </w:pPr>
      <w:bookmarkStart w:id="3" w:name="DocInhalt"/>
      <w:bookmarkEnd w:id="3"/>
      <w:r w:rsidRPr="00D85A96">
        <w:rPr>
          <w:rFonts w:ascii="Arial" w:hAnsi="Arial" w:cs="Arial"/>
          <w:sz w:val="20"/>
          <w:szCs w:val="20"/>
        </w:rPr>
        <w:t>1. Ein wichtiger Grund für die Kündigung eines Geschäftsführerdienstvertrags setzt voraus, dass Tatsachen vorliegen, die die Fortsetzung des Dienstverhältnisses bis zum Ablauf der ordentlichen Kündigungsfrist unzumutbar machen, insbesondere aufgrund grober Pflichtverletzungen des Geschäftsführers. Verschulden ist hierfür nicht erforderlich.</w:t>
      </w:r>
      <w:bookmarkStart w:id="4" w:name="_retrdlink_35"/>
      <w:r w:rsidRPr="00D85A96">
        <w:rPr>
          <w:rFonts w:ascii="Arial" w:hAnsi="Arial" w:cs="Arial"/>
          <w:sz w:val="20"/>
          <w:szCs w:val="20"/>
        </w:rPr>
        <w:fldChar w:fldCharType="begin"/>
      </w:r>
      <w:r w:rsidRPr="00D85A96">
        <w:rPr>
          <w:rFonts w:ascii="Arial" w:hAnsi="Arial" w:cs="Arial"/>
          <w:sz w:val="20"/>
          <w:szCs w:val="20"/>
        </w:rPr>
        <w:instrText xml:space="preserve"> HYPERLINK "https://www.juris.de/jportal/portal/t/wtn/page/jurisw.psml?pid=Dokumentanzeige&amp;showdoccase=1&amp;js_peid=Trefferliste&amp;documentnumber=96&amp;numberofresults=1101&amp;fromdoctodoc=yes&amp;doc.id=JURE170031481&amp;doc.part=L&amp;doc.price=0.0&amp;doc.hl=1" \l "rd_35" \o "zum Text" </w:instrText>
      </w:r>
      <w:r w:rsidR="00DB7C2A" w:rsidRPr="00D85A96">
        <w:rPr>
          <w:rFonts w:ascii="Arial" w:hAnsi="Arial" w:cs="Arial"/>
          <w:sz w:val="20"/>
          <w:szCs w:val="20"/>
        </w:rPr>
      </w:r>
      <w:r w:rsidRPr="00D85A96">
        <w:rPr>
          <w:rFonts w:ascii="Arial" w:hAnsi="Arial" w:cs="Arial"/>
          <w:sz w:val="20"/>
          <w:szCs w:val="20"/>
        </w:rPr>
        <w:fldChar w:fldCharType="separate"/>
      </w:r>
      <w:r w:rsidRPr="00D85A96">
        <w:rPr>
          <w:rStyle w:val="Hyperlink"/>
          <w:rFonts w:ascii="Arial" w:hAnsi="Arial" w:cs="Arial"/>
          <w:color w:val="auto"/>
          <w:sz w:val="20"/>
          <w:szCs w:val="20"/>
          <w:u w:val="none"/>
        </w:rPr>
        <w:t>(Rn.35)</w:t>
      </w:r>
      <w:r w:rsidRPr="00D85A96">
        <w:rPr>
          <w:rFonts w:ascii="Arial" w:hAnsi="Arial" w:cs="Arial"/>
          <w:sz w:val="20"/>
          <w:szCs w:val="20"/>
        </w:rPr>
        <w:fldChar w:fldCharType="end"/>
      </w:r>
    </w:p>
    <w:p w:rsidR="00D5042F" w:rsidRPr="00D85A96" w:rsidRDefault="00D5042F"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2. Maßstab ist nicht das subjektive Empfinden des kündigenden Teils, sondern ob objektiv aus Sicht eines verständigen Betrachters unter Berücksichtigung der beiderseitigen Interessen der weiteren Zusammenarbeit die Grundlage entzogen ist.</w:t>
      </w:r>
      <w:hyperlink r:id="rId7" w:anchor="rd_35" w:tooltip="zum Text" w:history="1">
        <w:r w:rsidRPr="00D85A96">
          <w:rPr>
            <w:rStyle w:val="Hyperlink"/>
            <w:rFonts w:ascii="Arial" w:hAnsi="Arial" w:cs="Arial"/>
            <w:color w:val="auto"/>
            <w:sz w:val="20"/>
            <w:szCs w:val="20"/>
            <w:u w:val="none"/>
          </w:rPr>
          <w:t>(Rn.35)</w:t>
        </w:r>
      </w:hyperlink>
    </w:p>
    <w:p w:rsidR="00D5042F" w:rsidRPr="00D85A96" w:rsidRDefault="00D5042F"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 xml:space="preserve">3. Ein wichtiger Grund für die Gesellschaft kann je nach den Umständen des Einzelfalls etwa darin liegen, dass ein Geschäftsführer sich Weisungen der Gesellschafterversammlung widersetzt, gegen die innergesellschaftliche Kompetenzordnung verstößt oder den Alleingesellschafter auf dessen Fragen </w:t>
      </w:r>
      <w:r w:rsidRPr="00D85A96">
        <w:rPr>
          <w:rFonts w:ascii="Arial" w:hAnsi="Arial" w:cs="Arial"/>
          <w:sz w:val="20"/>
          <w:szCs w:val="20"/>
        </w:rPr>
        <w:lastRenderedPageBreak/>
        <w:t>nach dem Stand einzelner Geschäfte unzureichend informiert. Dabei rechtfertigt nicht jede fehlerhafte Leistungserbringung schon eine außerordentliche Kündigung.</w:t>
      </w:r>
      <w:hyperlink r:id="rId8" w:anchor="rd_35" w:tooltip="zum Text" w:history="1">
        <w:r w:rsidRPr="00D85A96">
          <w:rPr>
            <w:rStyle w:val="Hyperlink"/>
            <w:rFonts w:ascii="Arial" w:hAnsi="Arial" w:cs="Arial"/>
            <w:color w:val="auto"/>
            <w:sz w:val="20"/>
            <w:szCs w:val="20"/>
            <w:u w:val="none"/>
          </w:rPr>
          <w:t>(Rn.35)</w:t>
        </w:r>
      </w:hyperlink>
    </w:p>
    <w:p w:rsidR="00D5042F" w:rsidRPr="00D85A96" w:rsidRDefault="00D5042F"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4. Die Beweislast für die Tatsachen, die den wichtigen Grund darstellen, trägt derjenige, der gekündigt hat und sich auf die Wirksamkeit der Kündigung beruft.</w:t>
      </w:r>
      <w:hyperlink r:id="rId9" w:anchor="rd_35" w:tooltip="zum Text" w:history="1">
        <w:r w:rsidRPr="00D85A96">
          <w:rPr>
            <w:rStyle w:val="Hyperlink"/>
            <w:rFonts w:ascii="Arial" w:hAnsi="Arial" w:cs="Arial"/>
            <w:color w:val="auto"/>
            <w:sz w:val="20"/>
            <w:szCs w:val="20"/>
            <w:u w:val="none"/>
          </w:rPr>
          <w:t>(Rn.35)</w:t>
        </w:r>
      </w:hyperlink>
      <w:bookmarkEnd w:id="4"/>
    </w:p>
    <w:p w:rsidR="00D5042F" w:rsidRPr="00DB7C2A" w:rsidRDefault="00D5042F" w:rsidP="006C2122">
      <w:pPr>
        <w:rPr>
          <w:rFonts w:ascii="Arial" w:hAnsi="Arial" w:cs="Arial"/>
          <w:sz w:val="20"/>
          <w:szCs w:val="20"/>
        </w:rPr>
      </w:pPr>
    </w:p>
    <w:p w:rsidR="00D5042F" w:rsidRPr="00D85A96" w:rsidRDefault="00D85A96" w:rsidP="00D85A96">
      <w:pPr>
        <w:jc w:val="center"/>
        <w:rPr>
          <w:rFonts w:ascii="Arial" w:hAnsi="Arial" w:cs="Arial"/>
          <w:b/>
          <w:sz w:val="20"/>
          <w:szCs w:val="20"/>
        </w:rPr>
      </w:pPr>
      <w:r w:rsidRPr="00D85A96">
        <w:rPr>
          <w:rFonts w:ascii="Arial" w:hAnsi="Arial" w:cs="Arial"/>
          <w:b/>
          <w:sz w:val="20"/>
          <w:szCs w:val="20"/>
        </w:rPr>
        <w:t>V.</w:t>
      </w:r>
    </w:p>
    <w:p w:rsidR="00D85A96" w:rsidRPr="00D85A96" w:rsidRDefault="00D85A96" w:rsidP="00D85A96">
      <w:pPr>
        <w:jc w:val="center"/>
        <w:rPr>
          <w:rFonts w:ascii="Arial" w:hAnsi="Arial" w:cs="Arial"/>
          <w:b/>
          <w:sz w:val="20"/>
          <w:szCs w:val="20"/>
        </w:rPr>
      </w:pPr>
      <w:r w:rsidRPr="00D85A96">
        <w:rPr>
          <w:rFonts w:ascii="Arial" w:hAnsi="Arial" w:cs="Arial"/>
          <w:b/>
          <w:sz w:val="20"/>
          <w:szCs w:val="20"/>
        </w:rPr>
        <w:t>Im Zivilprozess gilt das Wahrheitsgebot</w:t>
      </w:r>
    </w:p>
    <w:p w:rsidR="00D85A96" w:rsidRDefault="00D85A96" w:rsidP="00D85A96">
      <w:pPr>
        <w:jc w:val="center"/>
        <w:rPr>
          <w:rFonts w:ascii="Arial" w:hAnsi="Arial" w:cs="Arial"/>
          <w:sz w:val="20"/>
          <w:szCs w:val="20"/>
        </w:rPr>
      </w:pPr>
      <w:r w:rsidRPr="00D85A96">
        <w:rPr>
          <w:rFonts w:ascii="Arial" w:hAnsi="Arial" w:cs="Arial"/>
          <w:sz w:val="20"/>
          <w:szCs w:val="20"/>
        </w:rPr>
        <w:t>OLG Celle, Beschluss vom 17. Juli 2017</w:t>
      </w:r>
      <w:r>
        <w:rPr>
          <w:rFonts w:ascii="Arial" w:hAnsi="Arial" w:cs="Arial"/>
          <w:sz w:val="20"/>
          <w:szCs w:val="20"/>
        </w:rPr>
        <w:t xml:space="preserve">, Az. </w:t>
      </w:r>
      <w:r w:rsidRPr="00D85A96">
        <w:rPr>
          <w:rFonts w:ascii="Arial" w:hAnsi="Arial" w:cs="Arial"/>
          <w:sz w:val="20"/>
          <w:szCs w:val="20"/>
        </w:rPr>
        <w:t>11 U 66/17</w:t>
      </w:r>
    </w:p>
    <w:p w:rsidR="00D85A96" w:rsidRPr="00D85A96" w:rsidRDefault="00D85A96" w:rsidP="00D85A96">
      <w:pPr>
        <w:rPr>
          <w:rFonts w:ascii="Arial" w:hAnsi="Arial" w:cs="Arial"/>
          <w:sz w:val="20"/>
          <w:szCs w:val="20"/>
        </w:rPr>
      </w:pPr>
    </w:p>
    <w:p w:rsidR="00D5042F" w:rsidRPr="00D85A96" w:rsidRDefault="00D5042F"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Ein Anleger, der ein Anlageberatungsunternehmen auf Schadensersatz mit der Begründung in Anspruch nimmt, er sei von dem Berater in dem Beratungsgespräch nicht hinreichend über - schriftsätzlich konkret benannte - Risiken aufgeklärt worden, hält keinen schlüssigen Vortrag zu einer Anlageberaterpflichtverletzung, wenn er im Rahmen seiner persönlichen Anhörung vor dem Gericht einräumt, sich an den Ablauf des - viele Jahre zurückliegenden - Beratungsgespräches gar nicht mehr erinnern zu können.</w:t>
      </w:r>
    </w:p>
    <w:p w:rsidR="00D5042F" w:rsidRPr="00D85A96" w:rsidRDefault="00D5042F" w:rsidP="00D85A96">
      <w:pPr>
        <w:rPr>
          <w:rFonts w:ascii="Arial" w:hAnsi="Arial" w:cs="Arial"/>
          <w:sz w:val="20"/>
          <w:szCs w:val="20"/>
        </w:rPr>
      </w:pPr>
    </w:p>
    <w:p w:rsidR="00D5042F" w:rsidRDefault="00D85A96" w:rsidP="007930A7">
      <w:pPr>
        <w:jc w:val="center"/>
        <w:rPr>
          <w:rFonts w:ascii="Arial" w:hAnsi="Arial" w:cs="Arial"/>
          <w:b/>
          <w:sz w:val="20"/>
          <w:szCs w:val="20"/>
        </w:rPr>
      </w:pPr>
      <w:r w:rsidRPr="007930A7">
        <w:rPr>
          <w:rFonts w:ascii="Arial" w:hAnsi="Arial" w:cs="Arial"/>
          <w:b/>
          <w:sz w:val="20"/>
          <w:szCs w:val="20"/>
        </w:rPr>
        <w:t>VI.</w:t>
      </w:r>
    </w:p>
    <w:p w:rsidR="00557845" w:rsidRPr="007930A7" w:rsidRDefault="00557845" w:rsidP="00557845">
      <w:pPr>
        <w:pStyle w:val="StandardWeb"/>
        <w:spacing w:before="0" w:beforeAutospacing="0" w:after="0" w:afterAutospacing="0"/>
        <w:jc w:val="center"/>
        <w:rPr>
          <w:rFonts w:ascii="Arial" w:hAnsi="Arial" w:cs="Arial"/>
          <w:b/>
          <w:sz w:val="20"/>
          <w:szCs w:val="20"/>
        </w:rPr>
      </w:pPr>
      <w:r w:rsidRPr="00257A61">
        <w:rPr>
          <w:rFonts w:ascii="Arial" w:hAnsi="Arial" w:cs="Arial"/>
          <w:b/>
          <w:sz w:val="20"/>
          <w:szCs w:val="20"/>
        </w:rPr>
        <w:t>Bearbeitungsentgelt für Vertragsschluss</w:t>
      </w:r>
      <w:r>
        <w:rPr>
          <w:rFonts w:ascii="Arial" w:hAnsi="Arial" w:cs="Arial"/>
          <w:b/>
          <w:sz w:val="20"/>
          <w:szCs w:val="20"/>
        </w:rPr>
        <w:t xml:space="preserve"> bei Unternehmen</w:t>
      </w:r>
    </w:p>
    <w:p w:rsidR="00D85A96" w:rsidRDefault="00D85A96" w:rsidP="007930A7">
      <w:pPr>
        <w:jc w:val="center"/>
        <w:rPr>
          <w:rFonts w:ascii="Arial" w:hAnsi="Arial" w:cs="Arial"/>
          <w:sz w:val="20"/>
          <w:szCs w:val="20"/>
        </w:rPr>
      </w:pPr>
      <w:r w:rsidRPr="00D85A96">
        <w:rPr>
          <w:rFonts w:ascii="Arial" w:hAnsi="Arial" w:cs="Arial"/>
          <w:sz w:val="20"/>
          <w:szCs w:val="20"/>
        </w:rPr>
        <w:t>BGH, Urteil vom 04. Juli 2017</w:t>
      </w:r>
      <w:r w:rsidR="007930A7">
        <w:rPr>
          <w:rFonts w:ascii="Arial" w:hAnsi="Arial" w:cs="Arial"/>
          <w:sz w:val="20"/>
          <w:szCs w:val="20"/>
        </w:rPr>
        <w:t>, Az.</w:t>
      </w:r>
      <w:r w:rsidRPr="00D85A96">
        <w:rPr>
          <w:rFonts w:ascii="Arial" w:hAnsi="Arial" w:cs="Arial"/>
          <w:sz w:val="20"/>
          <w:szCs w:val="20"/>
        </w:rPr>
        <w:t xml:space="preserve"> XI ZR 562/15</w:t>
      </w:r>
    </w:p>
    <w:p w:rsidR="00257A61" w:rsidRDefault="00257A61" w:rsidP="00D85A96">
      <w:pPr>
        <w:pStyle w:val="StandardWeb"/>
        <w:spacing w:before="0" w:beforeAutospacing="0" w:after="0" w:afterAutospacing="0"/>
        <w:rPr>
          <w:rFonts w:ascii="Arial" w:hAnsi="Arial" w:cs="Arial"/>
          <w:sz w:val="20"/>
          <w:szCs w:val="20"/>
        </w:rPr>
      </w:pPr>
    </w:p>
    <w:p w:rsidR="00D85A96" w:rsidRPr="00D85A96" w:rsidRDefault="00D85A96"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 xml:space="preserve">1. Die in Darlehensurkunden eines Kreditinstituts für den Abschluss von Kreditverträgen mit Unternehmern enthaltene formularmäßige Klausel "Bearbeitungsentgelt für Vertragsschluss      EUR      10.000 €" unterliegt nach </w:t>
      </w:r>
      <w:hyperlink r:id="rId10" w:anchor="focuspoint" w:history="1">
        <w:r w:rsidRPr="00D85A96">
          <w:rPr>
            <w:rStyle w:val="Hyperlink"/>
            <w:rFonts w:ascii="Arial" w:hAnsi="Arial" w:cs="Arial"/>
            <w:color w:val="auto"/>
            <w:sz w:val="20"/>
            <w:szCs w:val="20"/>
            <w:u w:val="none"/>
          </w:rPr>
          <w:t>§ 307 Abs. 3 Satz 1 BGB</w:t>
        </w:r>
      </w:hyperlink>
      <w:r w:rsidRPr="00D85A96">
        <w:rPr>
          <w:rFonts w:ascii="Arial" w:hAnsi="Arial" w:cs="Arial"/>
          <w:sz w:val="20"/>
          <w:szCs w:val="20"/>
        </w:rPr>
        <w:t xml:space="preserve"> der richterlichen Inhaltskontrolle und ist gemäß </w:t>
      </w:r>
      <w:hyperlink r:id="rId11" w:anchor="focuspoint" w:history="1">
        <w:r w:rsidRPr="00D85A96">
          <w:rPr>
            <w:rStyle w:val="Hyperlink"/>
            <w:rFonts w:ascii="Arial" w:hAnsi="Arial" w:cs="Arial"/>
            <w:color w:val="auto"/>
            <w:sz w:val="20"/>
            <w:szCs w:val="20"/>
            <w:u w:val="none"/>
          </w:rPr>
          <w:t>§ 307 Abs. 1 Satz 1, Abs. 2 Nr. 1 BGB</w:t>
        </w:r>
      </w:hyperlink>
      <w:r w:rsidRPr="00D85A96">
        <w:rPr>
          <w:rFonts w:ascii="Arial" w:hAnsi="Arial" w:cs="Arial"/>
          <w:sz w:val="20"/>
          <w:szCs w:val="20"/>
        </w:rPr>
        <w:t xml:space="preserve"> unwirksam.</w:t>
      </w:r>
    </w:p>
    <w:p w:rsidR="00D85A96" w:rsidRPr="00D85A96" w:rsidRDefault="00D85A96" w:rsidP="00D85A96">
      <w:pPr>
        <w:pStyle w:val="StandardWeb"/>
        <w:spacing w:before="0" w:beforeAutospacing="0" w:after="0" w:afterAutospacing="0"/>
        <w:jc w:val="both"/>
        <w:rPr>
          <w:rFonts w:ascii="Arial" w:hAnsi="Arial" w:cs="Arial"/>
          <w:sz w:val="20"/>
          <w:szCs w:val="20"/>
        </w:rPr>
      </w:pPr>
      <w:r w:rsidRPr="00D85A96">
        <w:rPr>
          <w:rFonts w:ascii="Arial" w:hAnsi="Arial" w:cs="Arial"/>
          <w:sz w:val="20"/>
          <w:szCs w:val="20"/>
        </w:rPr>
        <w:t xml:space="preserve">2. Die kenntnisabhängige Verjährungsfrist des </w:t>
      </w:r>
      <w:hyperlink r:id="rId12" w:anchor="focuspoint" w:history="1">
        <w:r w:rsidRPr="00D85A96">
          <w:rPr>
            <w:rStyle w:val="Hyperlink"/>
            <w:rFonts w:ascii="Arial" w:hAnsi="Arial" w:cs="Arial"/>
            <w:color w:val="auto"/>
            <w:sz w:val="20"/>
            <w:szCs w:val="20"/>
            <w:u w:val="none"/>
          </w:rPr>
          <w:t>§ 199 Abs. 1 BGB</w:t>
        </w:r>
      </w:hyperlink>
      <w:r w:rsidRPr="00D85A96">
        <w:rPr>
          <w:rFonts w:ascii="Arial" w:hAnsi="Arial" w:cs="Arial"/>
          <w:sz w:val="20"/>
          <w:szCs w:val="20"/>
        </w:rPr>
        <w:t xml:space="preserve"> für Rückforderungsansprüche wegen unwirksam formularmäßig vereinbarter Bearbeitungsentgelte begann auch bei Darlehensverträgen mit Unternehmern nach </w:t>
      </w:r>
      <w:hyperlink r:id="rId13" w:anchor="focuspoint" w:history="1">
        <w:r w:rsidRPr="00D85A96">
          <w:rPr>
            <w:rStyle w:val="Hyperlink"/>
            <w:rFonts w:ascii="Arial" w:hAnsi="Arial" w:cs="Arial"/>
            <w:color w:val="auto"/>
            <w:sz w:val="20"/>
            <w:szCs w:val="20"/>
            <w:u w:val="none"/>
          </w:rPr>
          <w:t>§ 488 BGB</w:t>
        </w:r>
      </w:hyperlink>
      <w:r w:rsidRPr="00D85A96">
        <w:rPr>
          <w:rFonts w:ascii="Arial" w:hAnsi="Arial" w:cs="Arial"/>
          <w:sz w:val="20"/>
          <w:szCs w:val="20"/>
        </w:rPr>
        <w:t xml:space="preserve"> mit dem Schluss des Jahres 2011 zu laufen (Fortführung von Senatsurteil vom 28. Oktober 2014, </w:t>
      </w:r>
      <w:hyperlink r:id="rId14" w:anchor="focuspoint" w:history="1">
        <w:r w:rsidRPr="00D85A96">
          <w:rPr>
            <w:rStyle w:val="Hyperlink"/>
            <w:rFonts w:ascii="Arial" w:hAnsi="Arial" w:cs="Arial"/>
            <w:color w:val="auto"/>
            <w:sz w:val="20"/>
            <w:szCs w:val="20"/>
            <w:u w:val="none"/>
          </w:rPr>
          <w:t>XI ZR 348/13</w:t>
        </w:r>
      </w:hyperlink>
      <w:r w:rsidRPr="00D85A96">
        <w:rPr>
          <w:rFonts w:ascii="Arial" w:hAnsi="Arial" w:cs="Arial"/>
          <w:sz w:val="20"/>
          <w:szCs w:val="20"/>
        </w:rPr>
        <w:t xml:space="preserve">, </w:t>
      </w:r>
      <w:hyperlink r:id="rId15" w:anchor="focuspoint" w:history="1">
        <w:r w:rsidRPr="00D85A96">
          <w:rPr>
            <w:rStyle w:val="Hyperlink"/>
            <w:rFonts w:ascii="Arial" w:hAnsi="Arial" w:cs="Arial"/>
            <w:color w:val="auto"/>
            <w:sz w:val="20"/>
            <w:szCs w:val="20"/>
            <w:u w:val="none"/>
          </w:rPr>
          <w:t>BGHZ 203, 115</w:t>
        </w:r>
      </w:hyperlink>
      <w:r w:rsidRPr="00D85A96">
        <w:rPr>
          <w:rFonts w:ascii="Arial" w:hAnsi="Arial" w:cs="Arial"/>
          <w:sz w:val="20"/>
          <w:szCs w:val="20"/>
        </w:rPr>
        <w:t xml:space="preserve"> </w:t>
      </w:r>
      <w:hyperlink r:id="rId16" w:anchor="rd_44" w:history="1">
        <w:r w:rsidRPr="00D85A96">
          <w:rPr>
            <w:rStyle w:val="Hyperlink"/>
            <w:rFonts w:ascii="Arial" w:hAnsi="Arial" w:cs="Arial"/>
            <w:color w:val="auto"/>
            <w:sz w:val="20"/>
            <w:szCs w:val="20"/>
            <w:u w:val="none"/>
          </w:rPr>
          <w:t>Rn. 44</w:t>
        </w:r>
      </w:hyperlink>
      <w:r w:rsidRPr="00D85A96">
        <w:rPr>
          <w:rFonts w:ascii="Arial" w:hAnsi="Arial" w:cs="Arial"/>
          <w:sz w:val="20"/>
          <w:szCs w:val="20"/>
        </w:rPr>
        <w:t xml:space="preserve"> ff.).</w:t>
      </w:r>
    </w:p>
    <w:p w:rsidR="00D85A96" w:rsidRPr="00D85A96" w:rsidRDefault="00D85A96" w:rsidP="00D85A96">
      <w:pPr>
        <w:rPr>
          <w:rFonts w:ascii="Arial" w:hAnsi="Arial" w:cs="Arial"/>
          <w:sz w:val="20"/>
          <w:szCs w:val="20"/>
        </w:rPr>
      </w:pPr>
    </w:p>
    <w:p w:rsidR="00D5042F" w:rsidRPr="007930A7" w:rsidRDefault="007930A7" w:rsidP="007930A7">
      <w:pPr>
        <w:jc w:val="center"/>
        <w:rPr>
          <w:rFonts w:ascii="Arial" w:hAnsi="Arial" w:cs="Arial"/>
          <w:b/>
          <w:sz w:val="20"/>
          <w:szCs w:val="20"/>
        </w:rPr>
      </w:pPr>
      <w:r w:rsidRPr="007930A7">
        <w:rPr>
          <w:rFonts w:ascii="Arial" w:hAnsi="Arial" w:cs="Arial"/>
          <w:b/>
          <w:sz w:val="20"/>
          <w:szCs w:val="20"/>
        </w:rPr>
        <w:t>VII.</w:t>
      </w:r>
    </w:p>
    <w:p w:rsidR="007930A7" w:rsidRPr="00D85A96" w:rsidRDefault="007930A7" w:rsidP="007930A7">
      <w:pPr>
        <w:jc w:val="center"/>
        <w:rPr>
          <w:rFonts w:ascii="Arial" w:hAnsi="Arial" w:cs="Arial"/>
          <w:sz w:val="20"/>
          <w:szCs w:val="20"/>
        </w:rPr>
      </w:pPr>
      <w:r w:rsidRPr="00D85A96">
        <w:rPr>
          <w:rFonts w:ascii="Arial" w:hAnsi="Arial" w:cs="Arial"/>
          <w:sz w:val="20"/>
          <w:szCs w:val="20"/>
        </w:rPr>
        <w:t>BGH, Urteil vom 03. August 2017</w:t>
      </w:r>
      <w:r>
        <w:rPr>
          <w:rFonts w:ascii="Arial" w:hAnsi="Arial" w:cs="Arial"/>
          <w:sz w:val="20"/>
          <w:szCs w:val="20"/>
        </w:rPr>
        <w:t>, Az.</w:t>
      </w:r>
      <w:r w:rsidRPr="00D85A96">
        <w:rPr>
          <w:rFonts w:ascii="Arial" w:hAnsi="Arial" w:cs="Arial"/>
          <w:sz w:val="20"/>
          <w:szCs w:val="20"/>
        </w:rPr>
        <w:t xml:space="preserve"> VII ZR 32/17</w:t>
      </w:r>
    </w:p>
    <w:p w:rsidR="00D5042F" w:rsidRPr="00257A61" w:rsidRDefault="00257A61" w:rsidP="00257A61">
      <w:pPr>
        <w:jc w:val="center"/>
        <w:rPr>
          <w:rFonts w:ascii="Arial" w:hAnsi="Arial" w:cs="Arial"/>
          <w:b/>
          <w:sz w:val="20"/>
          <w:szCs w:val="20"/>
        </w:rPr>
      </w:pPr>
      <w:r w:rsidRPr="00257A61">
        <w:rPr>
          <w:rFonts w:ascii="Arial" w:hAnsi="Arial" w:cs="Arial"/>
          <w:b/>
          <w:sz w:val="20"/>
          <w:szCs w:val="20"/>
        </w:rPr>
        <w:t>Handelsvertreterrecht</w:t>
      </w:r>
    </w:p>
    <w:p w:rsidR="00257A61" w:rsidRPr="007930A7" w:rsidRDefault="00257A61" w:rsidP="007930A7">
      <w:pPr>
        <w:jc w:val="both"/>
        <w:rPr>
          <w:rFonts w:ascii="Arial" w:hAnsi="Arial" w:cs="Arial"/>
          <w:sz w:val="20"/>
          <w:szCs w:val="20"/>
        </w:rPr>
      </w:pP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1. Die Verjährung des Anspruchs des Handelsvertreters auf Erteilung eines Buchauszugs nach </w:t>
      </w:r>
      <w:hyperlink r:id="rId17" w:anchor="focuspoint" w:history="1">
        <w:r w:rsidRPr="007930A7">
          <w:rPr>
            <w:rStyle w:val="Hyperlink"/>
            <w:rFonts w:ascii="Arial" w:hAnsi="Arial" w:cs="Arial"/>
            <w:color w:val="auto"/>
            <w:sz w:val="20"/>
            <w:szCs w:val="20"/>
            <w:u w:val="none"/>
          </w:rPr>
          <w:t>§ 87c Abs. 2 HGB</w:t>
        </w:r>
      </w:hyperlink>
      <w:r w:rsidRPr="007930A7">
        <w:rPr>
          <w:rFonts w:ascii="Arial" w:hAnsi="Arial" w:cs="Arial"/>
          <w:sz w:val="20"/>
          <w:szCs w:val="20"/>
        </w:rPr>
        <w:t xml:space="preserve"> beginnt regelmäßig mit dem Schluss des Jahres, in dem der Unternehmer dem Handelsvertreter eine abschließende Abrechnung über die diesem zustehende Provision erteilt hat.</w:t>
      </w: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2. Der Handelsvertreter ist, wenn der Unternehmer die Erteilung einer Abrechnung über die dem Handelsvertreter zustehende Provision verweigert, obwohl er zur Abrechnung verpflichtet ist, grundsätzlich berechtigt, die Vorlage eines Buchauszugs zusammen mit der Abrechnung über die Provision gerichtlich geltend zu machen (Abgrenzung zu </w:t>
      </w:r>
      <w:hyperlink r:id="rId18" w:anchor="focuspoint" w:history="1">
        <w:r w:rsidRPr="007930A7">
          <w:rPr>
            <w:rStyle w:val="Hyperlink"/>
            <w:rFonts w:ascii="Arial" w:hAnsi="Arial" w:cs="Arial"/>
            <w:color w:val="auto"/>
            <w:sz w:val="20"/>
            <w:szCs w:val="20"/>
            <w:u w:val="none"/>
          </w:rPr>
          <w:t>BGH, Beschluss vom 20. Mai 2014, VII ZR 187/13</w:t>
        </w:r>
      </w:hyperlink>
      <w:r w:rsidRPr="007930A7">
        <w:rPr>
          <w:rFonts w:ascii="Arial" w:hAnsi="Arial" w:cs="Arial"/>
          <w:sz w:val="20"/>
          <w:szCs w:val="20"/>
        </w:rPr>
        <w:t>).</w:t>
      </w:r>
    </w:p>
    <w:p w:rsidR="00D5042F" w:rsidRPr="00D85A96" w:rsidRDefault="00D5042F" w:rsidP="00D85A96">
      <w:pPr>
        <w:rPr>
          <w:rFonts w:ascii="Arial" w:hAnsi="Arial" w:cs="Arial"/>
          <w:sz w:val="20"/>
          <w:szCs w:val="20"/>
        </w:rPr>
      </w:pPr>
    </w:p>
    <w:p w:rsidR="00D5042F" w:rsidRPr="007930A7" w:rsidRDefault="007930A7" w:rsidP="007930A7">
      <w:pPr>
        <w:jc w:val="center"/>
        <w:rPr>
          <w:rFonts w:ascii="Arial" w:hAnsi="Arial" w:cs="Arial"/>
          <w:b/>
          <w:sz w:val="20"/>
          <w:szCs w:val="20"/>
        </w:rPr>
      </w:pPr>
      <w:r w:rsidRPr="007930A7">
        <w:rPr>
          <w:rFonts w:ascii="Arial" w:hAnsi="Arial" w:cs="Arial"/>
          <w:b/>
          <w:sz w:val="20"/>
          <w:szCs w:val="20"/>
        </w:rPr>
        <w:t>VIII.</w:t>
      </w:r>
    </w:p>
    <w:p w:rsidR="007930A7" w:rsidRPr="007930A7" w:rsidRDefault="007930A7" w:rsidP="007930A7">
      <w:pPr>
        <w:pStyle w:val="StandardWeb"/>
        <w:spacing w:before="0" w:beforeAutospacing="0" w:after="0" w:afterAutospacing="0"/>
        <w:jc w:val="center"/>
        <w:rPr>
          <w:rFonts w:ascii="Arial" w:hAnsi="Arial" w:cs="Arial"/>
          <w:b/>
          <w:sz w:val="20"/>
          <w:szCs w:val="20"/>
        </w:rPr>
      </w:pPr>
      <w:r w:rsidRPr="007930A7">
        <w:rPr>
          <w:rFonts w:ascii="Arial" w:hAnsi="Arial" w:cs="Arial"/>
          <w:b/>
          <w:sz w:val="20"/>
          <w:szCs w:val="20"/>
        </w:rPr>
        <w:t>Persönliche Haftung des Insolvenzverwalters wegen vorsätzlicher sittenwidriger Schädigung: Überprüfung der Masseunzulänglichkeitsanzeige und der voraussichtlichen Verwaltervergütung im Haftungsprozess</w:t>
      </w:r>
    </w:p>
    <w:p w:rsidR="007930A7" w:rsidRPr="00DB7C2A" w:rsidRDefault="007930A7" w:rsidP="007930A7">
      <w:pPr>
        <w:pStyle w:val="StandardWeb"/>
        <w:spacing w:before="0" w:beforeAutospacing="0" w:after="0" w:afterAutospacing="0"/>
        <w:jc w:val="center"/>
        <w:rPr>
          <w:rFonts w:ascii="Arial" w:hAnsi="Arial" w:cs="Arial"/>
          <w:sz w:val="20"/>
          <w:szCs w:val="20"/>
        </w:rPr>
      </w:pPr>
      <w:r w:rsidRPr="00D85A96">
        <w:rPr>
          <w:rFonts w:ascii="Arial" w:hAnsi="Arial" w:cs="Arial"/>
          <w:sz w:val="20"/>
          <w:szCs w:val="20"/>
        </w:rPr>
        <w:t>BGH, Urteil vom 20. Juli 2017</w:t>
      </w:r>
      <w:r>
        <w:rPr>
          <w:rFonts w:ascii="Arial" w:hAnsi="Arial" w:cs="Arial"/>
          <w:sz w:val="20"/>
          <w:szCs w:val="20"/>
        </w:rPr>
        <w:t>, Az.</w:t>
      </w:r>
      <w:r w:rsidRPr="00D85A96">
        <w:rPr>
          <w:rFonts w:ascii="Arial" w:hAnsi="Arial" w:cs="Arial"/>
          <w:sz w:val="20"/>
          <w:szCs w:val="20"/>
        </w:rPr>
        <w:t xml:space="preserve"> IX ZR 310/14</w:t>
      </w:r>
    </w:p>
    <w:p w:rsidR="007930A7" w:rsidRPr="00D85A96" w:rsidRDefault="007930A7" w:rsidP="007930A7">
      <w:pPr>
        <w:rPr>
          <w:rFonts w:ascii="Arial" w:hAnsi="Arial" w:cs="Arial"/>
          <w:sz w:val="20"/>
          <w:szCs w:val="20"/>
        </w:rPr>
      </w:pP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1. Dem Insolvenzverwalter steht bei der Frage, zu welchem Zeitpunkt er die (drohende) Masseunzulänglichkeit anzeigt, ein weiter Handlungs- und Entscheidungsspielraum zu. Dessen Einhaltung kann das Gericht des Haftungsprozesses umfassend nachprüfen.</w:t>
      </w:r>
      <w:bookmarkStart w:id="5" w:name="_retrdlink_25"/>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"https://www.juris.de/jportal/portal/t/x3f/page/jurisw.psml?pid=Dokumentanzeige&amp;showdoccase=1&amp;js_peid=Trefferliste&amp;documentnumber=11&amp;numberofresults=395&amp;fromdoctodoc=yes&amp;doc.id=KORE318412017&amp;doc.part=L&amp;doc.price=0.0&amp;doc.hl=1" \l "rd_25"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(Rn.25)</w:t>
      </w:r>
      <w:r w:rsidRPr="007930A7">
        <w:rPr>
          <w:rFonts w:ascii="Arial" w:hAnsi="Arial" w:cs="Arial"/>
          <w:sz w:val="20"/>
          <w:szCs w:val="20"/>
        </w:rPr>
        <w:fldChar w:fldCharType="end"/>
      </w:r>
      <w:bookmarkEnd w:id="5"/>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2. Die vom Insolvenzverwalter bei der Anzeige der Masseunzulänglichkeit berücksichtigte voraussichtliche Verwaltervergütung kann das Gericht des Haftungsprozesses daraufhin überprüfen, ob der Insolvenzverwalter den ihm dabei zuzugestehenden Beurteilungsspielraum in unvertretbarer Weise überschritten hat.</w:t>
      </w:r>
      <w:bookmarkStart w:id="6" w:name="_retrdlink_26"/>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"https://www.juris.de/jportal/portal/t/x3f/page/jurisw.psml?pid=Dokumentanzeige&amp;showdoccase=1&amp;js_peid=Trefferliste&amp;documentnumber=11&amp;numberofresults=395&amp;fromdoctodoc=yes&amp;doc.id=KORE318412017&amp;doc.part=L&amp;doc.price=0.0&amp;doc.hl=1" \l "rd_26"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(Rn.26)</w:t>
      </w:r>
      <w:r w:rsidRPr="007930A7">
        <w:rPr>
          <w:rFonts w:ascii="Arial" w:hAnsi="Arial" w:cs="Arial"/>
          <w:sz w:val="20"/>
          <w:szCs w:val="20"/>
        </w:rPr>
        <w:fldChar w:fldCharType="end"/>
      </w:r>
      <w:bookmarkEnd w:id="6"/>
    </w:p>
    <w:p w:rsidR="00257A61" w:rsidRDefault="00257A61" w:rsidP="007930A7">
      <w:pPr>
        <w:rPr>
          <w:rFonts w:ascii="Arial" w:hAnsi="Arial" w:cs="Arial"/>
          <w:sz w:val="20"/>
          <w:szCs w:val="20"/>
        </w:rPr>
      </w:pPr>
      <w:r>
        <w:rPr>
          <w:rFonts w:ascii="Arial" w:hAnsi="Arial" w:cs="Arial"/>
          <w:sz w:val="20"/>
          <w:szCs w:val="20"/>
        </w:rPr>
        <w:br w:type="page"/>
      </w:r>
    </w:p>
    <w:p w:rsidR="00257A61" w:rsidRPr="00DB7C2A" w:rsidRDefault="00257A61" w:rsidP="007930A7">
      <w:pPr>
        <w:rPr>
          <w:rFonts w:ascii="Arial" w:hAnsi="Arial" w:cs="Arial"/>
          <w:sz w:val="20"/>
          <w:szCs w:val="20"/>
        </w:rPr>
      </w:pPr>
    </w:p>
    <w:p w:rsidR="00D5042F" w:rsidRDefault="007930A7" w:rsidP="007930A7">
      <w:pPr>
        <w:jc w:val="center"/>
        <w:rPr>
          <w:rFonts w:ascii="Arial" w:hAnsi="Arial" w:cs="Arial"/>
          <w:b/>
          <w:sz w:val="20"/>
          <w:szCs w:val="20"/>
        </w:rPr>
      </w:pPr>
      <w:r w:rsidRPr="007930A7">
        <w:rPr>
          <w:rFonts w:ascii="Arial" w:hAnsi="Arial" w:cs="Arial"/>
          <w:b/>
          <w:sz w:val="20"/>
          <w:szCs w:val="20"/>
        </w:rPr>
        <w:t>IX.</w:t>
      </w:r>
    </w:p>
    <w:p w:rsidR="00557845" w:rsidRPr="00257A61" w:rsidRDefault="00557845" w:rsidP="00557845">
      <w:pPr>
        <w:jc w:val="center"/>
        <w:rPr>
          <w:rFonts w:ascii="Arial" w:hAnsi="Arial" w:cs="Arial"/>
          <w:b/>
          <w:sz w:val="20"/>
          <w:szCs w:val="20"/>
        </w:rPr>
      </w:pPr>
      <w:r w:rsidRPr="00257A61">
        <w:rPr>
          <w:rFonts w:ascii="Arial" w:hAnsi="Arial" w:cs="Arial"/>
          <w:b/>
          <w:sz w:val="20"/>
          <w:szCs w:val="20"/>
        </w:rPr>
        <w:t>Mietkaution</w:t>
      </w:r>
    </w:p>
    <w:p w:rsidR="007930A7" w:rsidRDefault="007930A7" w:rsidP="007930A7">
      <w:pPr>
        <w:jc w:val="center"/>
        <w:rPr>
          <w:rFonts w:ascii="Arial" w:hAnsi="Arial" w:cs="Arial"/>
          <w:sz w:val="20"/>
          <w:szCs w:val="20"/>
        </w:rPr>
      </w:pPr>
      <w:r w:rsidRPr="00DB7C2A">
        <w:rPr>
          <w:rFonts w:ascii="Arial" w:hAnsi="Arial" w:cs="Arial"/>
          <w:sz w:val="20"/>
          <w:szCs w:val="20"/>
        </w:rPr>
        <w:t>LG Berlin, Urteil vom 20. Juli 2017</w:t>
      </w:r>
      <w:r>
        <w:rPr>
          <w:rFonts w:ascii="Arial" w:hAnsi="Arial" w:cs="Arial"/>
          <w:sz w:val="20"/>
          <w:szCs w:val="20"/>
        </w:rPr>
        <w:t>, Az.</w:t>
      </w:r>
      <w:r w:rsidRPr="00DB7C2A">
        <w:rPr>
          <w:rFonts w:ascii="Arial" w:hAnsi="Arial" w:cs="Arial"/>
          <w:sz w:val="20"/>
          <w:szCs w:val="20"/>
        </w:rPr>
        <w:t xml:space="preserve"> 67 S 111/17</w:t>
      </w:r>
    </w:p>
    <w:p w:rsidR="00557845" w:rsidRDefault="00557845" w:rsidP="007930A7">
      <w:pPr>
        <w:jc w:val="center"/>
        <w:rPr>
          <w:rFonts w:ascii="Arial" w:hAnsi="Arial" w:cs="Arial"/>
          <w:sz w:val="20"/>
          <w:szCs w:val="20"/>
        </w:rPr>
      </w:pPr>
    </w:p>
    <w:p w:rsidR="007930A7" w:rsidRPr="007930A7" w:rsidRDefault="007930A7"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1. Auch nach Beendigung des Mietverhältnisses hat die Kaution grundsätzlich nur eine Sicherungs- und keine Befriedigungsfunktion; deshalb ist der (Wohnraum-)Vermieter nach Vertragsende nur wegen unstreitiger oder rechtskräftig festgestellter Ansprüche zur Inanspruchnahme der Kaution befugt.</w:t>
      </w:r>
    </w:p>
    <w:p w:rsidR="007930A7" w:rsidRPr="007930A7" w:rsidRDefault="007930A7"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2. Droht nach Beendigung des Mietverhältnisses die Inanspruchnahme der Kaution durch den Vermieter wegen streitiger Ansprüche, kann der Mieter im einstweiligen Verfügungsverfahren Unterlassung verlangen. Die drohende Inanspruchnahme der Kaution reicht unabhängig von ihrer Höhe als Verfügungsgrund gemäß </w:t>
      </w:r>
      <w:hyperlink r:id="rId19" w:anchor="focuspoint" w:history="1">
        <w:r w:rsidRPr="007930A7">
          <w:rPr>
            <w:rStyle w:val="Hyperlink"/>
            <w:rFonts w:ascii="Arial" w:hAnsi="Arial" w:cs="Arial"/>
            <w:color w:val="auto"/>
            <w:sz w:val="20"/>
            <w:szCs w:val="20"/>
            <w:u w:val="none"/>
          </w:rPr>
          <w:t>§§ 935</w:t>
        </w:r>
      </w:hyperlink>
      <w:r w:rsidRPr="007930A7">
        <w:rPr>
          <w:rFonts w:ascii="Arial" w:hAnsi="Arial" w:cs="Arial"/>
          <w:sz w:val="20"/>
          <w:szCs w:val="20"/>
        </w:rPr>
        <w:t xml:space="preserve">, </w:t>
      </w:r>
      <w:hyperlink r:id="rId20" w:anchor="focuspoint" w:history="1">
        <w:r w:rsidRPr="007930A7">
          <w:rPr>
            <w:rStyle w:val="Hyperlink"/>
            <w:rFonts w:ascii="Arial" w:hAnsi="Arial" w:cs="Arial"/>
            <w:color w:val="auto"/>
            <w:sz w:val="20"/>
            <w:szCs w:val="20"/>
            <w:u w:val="none"/>
          </w:rPr>
          <w:t>940 ZPO</w:t>
        </w:r>
      </w:hyperlink>
      <w:r w:rsidRPr="007930A7">
        <w:rPr>
          <w:rFonts w:ascii="Arial" w:hAnsi="Arial" w:cs="Arial"/>
          <w:sz w:val="20"/>
          <w:szCs w:val="20"/>
        </w:rPr>
        <w:t xml:space="preserve"> aus, selbst wenn vermieterseits ein konkretes Insolvenzrisiko nicht besteht.</w:t>
      </w:r>
    </w:p>
    <w:p w:rsidR="007930A7" w:rsidRPr="007930A7" w:rsidRDefault="007930A7" w:rsidP="007930A7">
      <w:pPr>
        <w:jc w:val="both"/>
        <w:rPr>
          <w:rFonts w:ascii="Arial" w:hAnsi="Arial" w:cs="Arial"/>
          <w:sz w:val="20"/>
          <w:szCs w:val="20"/>
        </w:rPr>
      </w:pPr>
    </w:p>
    <w:p w:rsidR="00D5042F" w:rsidRPr="007930A7" w:rsidRDefault="007930A7" w:rsidP="007930A7">
      <w:pPr>
        <w:jc w:val="center"/>
        <w:rPr>
          <w:rFonts w:ascii="Arial" w:hAnsi="Arial" w:cs="Arial"/>
          <w:b/>
          <w:sz w:val="20"/>
          <w:szCs w:val="20"/>
        </w:rPr>
      </w:pPr>
      <w:r w:rsidRPr="007930A7">
        <w:rPr>
          <w:rFonts w:ascii="Arial" w:hAnsi="Arial" w:cs="Arial"/>
          <w:b/>
          <w:sz w:val="20"/>
          <w:szCs w:val="20"/>
        </w:rPr>
        <w:t>X.</w:t>
      </w:r>
    </w:p>
    <w:p w:rsidR="007930A7" w:rsidRPr="007930A7" w:rsidRDefault="007930A7" w:rsidP="007930A7">
      <w:pPr>
        <w:pStyle w:val="StandardWeb"/>
        <w:spacing w:before="0" w:beforeAutospacing="0" w:after="0" w:afterAutospacing="0"/>
        <w:jc w:val="center"/>
        <w:rPr>
          <w:rFonts w:ascii="Arial" w:hAnsi="Arial" w:cs="Arial"/>
          <w:b/>
          <w:sz w:val="20"/>
          <w:szCs w:val="20"/>
        </w:rPr>
      </w:pPr>
      <w:r w:rsidRPr="007930A7">
        <w:rPr>
          <w:rFonts w:ascii="Arial" w:hAnsi="Arial" w:cs="Arial"/>
          <w:b/>
          <w:sz w:val="20"/>
          <w:szCs w:val="20"/>
        </w:rPr>
        <w:t>Abweichende Steuerfestsetzung bei außergewöhnlichen Belastungen</w:t>
      </w:r>
    </w:p>
    <w:p w:rsidR="007930A7" w:rsidRPr="00DB7C2A" w:rsidRDefault="007930A7" w:rsidP="007930A7">
      <w:pPr>
        <w:pStyle w:val="StandardWeb"/>
        <w:spacing w:before="0" w:beforeAutospacing="0" w:after="0" w:afterAutospacing="0"/>
        <w:jc w:val="center"/>
        <w:rPr>
          <w:rFonts w:ascii="Arial" w:hAnsi="Arial" w:cs="Arial"/>
          <w:sz w:val="20"/>
          <w:szCs w:val="20"/>
        </w:rPr>
      </w:pPr>
      <w:r w:rsidRPr="00DB7C2A">
        <w:rPr>
          <w:rFonts w:ascii="Arial" w:hAnsi="Arial" w:cs="Arial"/>
          <w:sz w:val="20"/>
          <w:szCs w:val="20"/>
        </w:rPr>
        <w:t>BFH, Beschluss vom 12. Juli 2017 – VI R 36/15 –, BFHE</w:t>
      </w:r>
    </w:p>
    <w:p w:rsidR="007930A7" w:rsidRPr="00DB7C2A" w:rsidRDefault="007930A7" w:rsidP="007930A7">
      <w:pPr>
        <w:jc w:val="center"/>
        <w:rPr>
          <w:rFonts w:ascii="Arial" w:hAnsi="Arial" w:cs="Arial"/>
          <w:sz w:val="20"/>
          <w:szCs w:val="20"/>
        </w:rPr>
      </w:pP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1. Aufwendungen i.S. des </w:t>
      </w:r>
      <w:hyperlink r:id="rId21" w:anchor="focuspoint" w:history="1">
        <w:r w:rsidRPr="007930A7">
          <w:rPr>
            <w:rStyle w:val="Hyperlink"/>
            <w:rFonts w:ascii="Arial" w:hAnsi="Arial" w:cs="Arial"/>
            <w:color w:val="auto"/>
            <w:sz w:val="20"/>
            <w:szCs w:val="20"/>
            <w:u w:val="none"/>
          </w:rPr>
          <w:t>§ 33 Abs. 1 EStG</w:t>
        </w:r>
      </w:hyperlink>
      <w:r w:rsidRPr="007930A7">
        <w:rPr>
          <w:rFonts w:ascii="Arial" w:hAnsi="Arial" w:cs="Arial"/>
          <w:sz w:val="20"/>
          <w:szCs w:val="20"/>
        </w:rPr>
        <w:t xml:space="preserve"> sind grundsätzlich in dem Veranlagungszeitraum zu berücksichtigen, in dem der Steuerpflichtige sie geleistet hat</w:t>
      </w:r>
      <w:bookmarkStart w:id="7" w:name="_retrdlink_20"/>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"https://www.juris.de/jportal/portal/t/xck/page/jurisw.psml?pid=Dokumentanzeige&amp;showdoccase=1&amp;js_peid=Trefferliste&amp;documentnumber=22&amp;numberofresults=931&amp;fromdoctodoc=yes&amp;doc.id=STRE201710187&amp;doc.part=L&amp;doc.price=0.0&amp;doc.hl=1" \l "rd_20"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(Rn.20)</w:t>
      </w:r>
      <w:r w:rsidRPr="007930A7">
        <w:rPr>
          <w:rFonts w:ascii="Arial" w:hAnsi="Arial" w:cs="Arial"/>
          <w:sz w:val="20"/>
          <w:szCs w:val="20"/>
        </w:rPr>
        <w:fldChar w:fldCharType="end"/>
      </w:r>
      <w:r w:rsidRPr="007930A7">
        <w:rPr>
          <w:rFonts w:ascii="Arial" w:hAnsi="Arial" w:cs="Arial"/>
          <w:sz w:val="20"/>
          <w:szCs w:val="20"/>
        </w:rPr>
        <w:t>.</w:t>
      </w: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2. Eine abweichende Steuerfestsetzung nach </w:t>
      </w:r>
      <w:hyperlink r:id="rId22" w:anchor="focuspoint" w:history="1">
        <w:r w:rsidRPr="007930A7">
          <w:rPr>
            <w:rStyle w:val="Hyperlink"/>
            <w:rFonts w:ascii="Arial" w:hAnsi="Arial" w:cs="Arial"/>
            <w:color w:val="auto"/>
            <w:sz w:val="20"/>
            <w:szCs w:val="20"/>
            <w:u w:val="none"/>
          </w:rPr>
          <w:t>§ 163 AO</w:t>
        </w:r>
      </w:hyperlink>
      <w:r w:rsidRPr="007930A7">
        <w:rPr>
          <w:rFonts w:ascii="Arial" w:hAnsi="Arial" w:cs="Arial"/>
          <w:sz w:val="20"/>
          <w:szCs w:val="20"/>
        </w:rPr>
        <w:t xml:space="preserve"> ist atypischen Ausnahmefällen vorbehalten. Sie kommt nicht bereits dann in Betracht, wenn sich Aufwendungen im Veranlagungszeitraum der Verausgabung nicht in vollem Umfang steuermindernd ausgewirkt haben</w:t>
      </w:r>
      <w:bookmarkStart w:id="8" w:name="_retrdlink_15"/>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"https://www.juris.de/jportal/portal/t/xck/page/jurisw.psml?pid=Dokumentanzeige&amp;showdoccase=1&amp;js_peid=Trefferliste&amp;documentnumber=22&amp;numberofresults=931&amp;fromdoctodoc=yes&amp;doc.id=STRE201710187&amp;doc.part=L&amp;doc.price=0.0&amp;doc.hl=1" \l "rd_15"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(Rn.15)</w:t>
      </w:r>
      <w:r w:rsidRPr="007930A7">
        <w:rPr>
          <w:rFonts w:ascii="Arial" w:hAnsi="Arial" w:cs="Arial"/>
          <w:sz w:val="20"/>
          <w:szCs w:val="20"/>
        </w:rPr>
        <w:fldChar w:fldCharType="end"/>
      </w:r>
      <w:bookmarkStart w:id="9" w:name="_retrdlink_22"/>
      <w:bookmarkEnd w:id="8"/>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"https://www.juris.de/jportal/portal/t/xck/page/jurisw.psml?pid=Dokumentanzeige&amp;showdoccase=1&amp;js_peid=Trefferliste&amp;documentnumber=22&amp;numberofresults=931&amp;fromdoctodoc=yes&amp;doc.id=STRE201710187&amp;doc.part=L&amp;doc.price=0.0&amp;doc.hl=1" \l "rd_22"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(Rn.22)</w:t>
      </w:r>
      <w:r w:rsidRPr="007930A7">
        <w:rPr>
          <w:rFonts w:ascii="Arial" w:hAnsi="Arial" w:cs="Arial"/>
          <w:sz w:val="20"/>
          <w:szCs w:val="20"/>
        </w:rPr>
        <w:fldChar w:fldCharType="end"/>
      </w:r>
      <w:bookmarkStart w:id="10" w:name="_retrdlink_23"/>
      <w:bookmarkEnd w:id="9"/>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"https://www.juris.de/jportal/portal/t/xck/page/jurisw.psml?pid=Dokumentanzeige&amp;showdoccase=1&amp;js_peid=Trefferliste&amp;documentnumber=22&amp;numberofresults=931&amp;fromdoctodoc=yes&amp;doc.id=STRE201710187&amp;doc.part=L&amp;doc.price=0.0&amp;doc.hl=1" \l "rd_23" \o "zum Text"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(Rn.23)</w:t>
      </w:r>
      <w:r w:rsidRPr="007930A7">
        <w:rPr>
          <w:rFonts w:ascii="Arial" w:hAnsi="Arial" w:cs="Arial"/>
          <w:sz w:val="20"/>
          <w:szCs w:val="20"/>
        </w:rPr>
        <w:fldChar w:fldCharType="end"/>
      </w:r>
      <w:bookmarkEnd w:id="10"/>
      <w:r w:rsidRPr="007930A7">
        <w:rPr>
          <w:rFonts w:ascii="Arial" w:hAnsi="Arial" w:cs="Arial"/>
          <w:sz w:val="20"/>
          <w:szCs w:val="20"/>
        </w:rPr>
        <w:t>.</w:t>
      </w:r>
    </w:p>
    <w:p w:rsidR="00D5042F" w:rsidRPr="007930A7" w:rsidRDefault="00D5042F" w:rsidP="007930A7">
      <w:pPr>
        <w:pStyle w:val="berschrift4"/>
        <w:spacing w:after="0"/>
        <w:jc w:val="both"/>
        <w:rPr>
          <w:rFonts w:ascii="Arial" w:hAnsi="Arial" w:cs="Arial"/>
          <w:color w:val="auto"/>
          <w:sz w:val="20"/>
          <w:szCs w:val="20"/>
        </w:rPr>
      </w:pPr>
      <w:r w:rsidRPr="007930A7">
        <w:rPr>
          <w:rFonts w:ascii="Arial" w:hAnsi="Arial" w:cs="Arial"/>
          <w:color w:val="auto"/>
          <w:sz w:val="20"/>
          <w:szCs w:val="20"/>
        </w:rPr>
        <w:t>Orientierungssatz</w:t>
      </w: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1. Zu Leitsatz 1: Dies gilt unabhängig davon, ob sie aus eigenen oder fremden Mitteln bestritten werden</w:t>
      </w:r>
      <w:hyperlink r:id="rId23" w:anchor="rd_20" w:tooltip="zum Text" w:history="1">
        <w:r w:rsidRPr="007930A7">
          <w:rPr>
            <w:rStyle w:val="Hyperlink"/>
            <w:rFonts w:ascii="Arial" w:hAnsi="Arial" w:cs="Arial"/>
            <w:color w:val="auto"/>
            <w:sz w:val="20"/>
            <w:szCs w:val="20"/>
            <w:u w:val="none"/>
          </w:rPr>
          <w:t>(Rn.20)</w:t>
        </w:r>
      </w:hyperlink>
      <w:bookmarkEnd w:id="7"/>
      <w:r w:rsidRPr="007930A7">
        <w:rPr>
          <w:rFonts w:ascii="Arial" w:hAnsi="Arial" w:cs="Arial"/>
          <w:sz w:val="20"/>
          <w:szCs w:val="20"/>
        </w:rPr>
        <w:t>.</w:t>
      </w:r>
    </w:p>
    <w:p w:rsidR="00D5042F" w:rsidRPr="007930A7" w:rsidRDefault="00D5042F" w:rsidP="007930A7">
      <w:pPr>
        <w:pStyle w:val="StandardWeb"/>
        <w:spacing w:before="0" w:beforeAutospacing="0" w:after="0" w:afterAutospacing="0"/>
        <w:jc w:val="both"/>
        <w:rPr>
          <w:rFonts w:ascii="Arial" w:hAnsi="Arial" w:cs="Arial"/>
          <w:sz w:val="20"/>
          <w:szCs w:val="20"/>
        </w:rPr>
      </w:pPr>
      <w:r w:rsidRPr="007930A7">
        <w:rPr>
          <w:rFonts w:ascii="Arial" w:hAnsi="Arial" w:cs="Arial"/>
          <w:sz w:val="20"/>
          <w:szCs w:val="20"/>
        </w:rPr>
        <w:t xml:space="preserve">2. Ziel des </w:t>
      </w:r>
      <w:hyperlink r:id="rId24" w:anchor="focuspoint" w:history="1">
        <w:r w:rsidRPr="007930A7">
          <w:rPr>
            <w:rStyle w:val="Hyperlink"/>
            <w:rFonts w:ascii="Arial" w:hAnsi="Arial" w:cs="Arial"/>
            <w:color w:val="auto"/>
            <w:sz w:val="20"/>
            <w:szCs w:val="20"/>
            <w:u w:val="none"/>
          </w:rPr>
          <w:t>§ 33 EStG</w:t>
        </w:r>
      </w:hyperlink>
      <w:r w:rsidRPr="007930A7">
        <w:rPr>
          <w:rFonts w:ascii="Arial" w:hAnsi="Arial" w:cs="Arial"/>
          <w:sz w:val="20"/>
          <w:szCs w:val="20"/>
        </w:rPr>
        <w:t xml:space="preserve"> ist es, zwangsläufige Mehraufwendungen für den existenznotwendigen Grundbedarf zu berücksichtigen, die sich wegen ihrer Außergewöhnlichkeit einer pauschalen Erfassung in allgemeinen Freibeträgen entziehen. Aus dem Anwendungsbereich des </w:t>
      </w:r>
      <w:hyperlink r:id="rId25" w:anchor="focuspoint" w:history="1">
        <w:r w:rsidRPr="007930A7">
          <w:rPr>
            <w:rStyle w:val="Hyperlink"/>
            <w:rFonts w:ascii="Arial" w:hAnsi="Arial" w:cs="Arial"/>
            <w:color w:val="auto"/>
            <w:sz w:val="20"/>
            <w:szCs w:val="20"/>
            <w:u w:val="none"/>
          </w:rPr>
          <w:t>§ 33 EStG</w:t>
        </w:r>
      </w:hyperlink>
      <w:r w:rsidRPr="007930A7">
        <w:rPr>
          <w:rFonts w:ascii="Arial" w:hAnsi="Arial" w:cs="Arial"/>
          <w:sz w:val="20"/>
          <w:szCs w:val="20"/>
        </w:rPr>
        <w:t xml:space="preserve"> ausgeschlossen sind dagegen die üblichen Aufwendungen der Lebensführung, die in Höhe des Existenzminimums durch den Grundfreibetrag abgegolten sind (</w:t>
      </w:r>
      <w:hyperlink r:id="rId26" w:anchor="focuspoint" w:history="1">
        <w:r w:rsidRPr="007930A7">
          <w:rPr>
            <w:rStyle w:val="Hyperlink"/>
            <w:rFonts w:ascii="Arial" w:hAnsi="Arial" w:cs="Arial"/>
            <w:color w:val="auto"/>
            <w:sz w:val="20"/>
            <w:szCs w:val="20"/>
            <w:u w:val="none"/>
          </w:rPr>
          <w:t>BFH-Urteil vom 29. September 1989 III R 129/86</w:t>
        </w:r>
      </w:hyperlink>
      <w:r w:rsidRPr="007930A7">
        <w:rPr>
          <w:rFonts w:ascii="Arial" w:hAnsi="Arial" w:cs="Arial"/>
          <w:sz w:val="20"/>
          <w:szCs w:val="20"/>
        </w:rPr>
        <w:t xml:space="preserve">, </w:t>
      </w:r>
      <w:hyperlink r:id="rId27" w:anchor="focuspoint" w:history="1">
        <w:r w:rsidRPr="007930A7">
          <w:rPr>
            <w:rStyle w:val="Hyperlink"/>
            <w:rFonts w:ascii="Arial" w:hAnsi="Arial" w:cs="Arial"/>
            <w:color w:val="auto"/>
            <w:sz w:val="20"/>
            <w:szCs w:val="20"/>
            <w:u w:val="none"/>
          </w:rPr>
          <w:t>BFHE 158, 380</w:t>
        </w:r>
      </w:hyperlink>
      <w:r w:rsidRPr="007930A7">
        <w:rPr>
          <w:rFonts w:ascii="Arial" w:hAnsi="Arial" w:cs="Arial"/>
          <w:sz w:val="20"/>
          <w:szCs w:val="20"/>
        </w:rPr>
        <w:t xml:space="preserve">, </w:t>
      </w:r>
      <w:hyperlink r:id="rId28" w:anchor="focuspoint" w:history="1">
        <w:r w:rsidRPr="007930A7">
          <w:rPr>
            <w:rStyle w:val="Hyperlink"/>
            <w:rFonts w:ascii="Arial" w:hAnsi="Arial" w:cs="Arial"/>
            <w:color w:val="auto"/>
            <w:sz w:val="20"/>
            <w:szCs w:val="20"/>
            <w:u w:val="none"/>
          </w:rPr>
          <w:t>BStBl II 1990, 418</w:t>
        </w:r>
      </w:hyperlink>
      <w:r w:rsidRPr="007930A7">
        <w:rPr>
          <w:rFonts w:ascii="Arial" w:hAnsi="Arial" w:cs="Arial"/>
          <w:sz w:val="20"/>
          <w:szCs w:val="20"/>
        </w:rPr>
        <w:t>)</w:t>
      </w:r>
      <w:bookmarkStart w:id="11" w:name="_retrdlink_19"/>
      <w:r w:rsidRPr="007930A7">
        <w:rPr>
          <w:rFonts w:ascii="Arial" w:hAnsi="Arial" w:cs="Arial"/>
          <w:sz w:val="20"/>
          <w:szCs w:val="20"/>
        </w:rPr>
        <w:fldChar w:fldCharType="begin"/>
      </w:r>
      <w:r w:rsidRPr="007930A7">
        <w:rPr>
          <w:rFonts w:ascii="Arial" w:hAnsi="Arial" w:cs="Arial"/>
          <w:sz w:val="20"/>
          <w:szCs w:val="20"/>
        </w:rPr>
        <w:instrText xml:space="preserve"> HYPERLINK "https://www.juris.de/jportal/portal/t/xck/page/jurisw.psml?pid=Dokumentanzeige&amp;showdoccase=1&amp;js_peid=Trefferliste&amp;documentnumber=22&amp;numberofresults=931&amp;fromdoctodoc=yes&amp;doc.id=STRE201710187&amp;doc.part=L&amp;doc.price=0.0&amp;doc.hl=1" \l "rd_19" \o "" </w:instrText>
      </w:r>
      <w:r w:rsidR="00DB7C2A" w:rsidRPr="007930A7">
        <w:rPr>
          <w:rFonts w:ascii="Arial" w:hAnsi="Arial" w:cs="Arial"/>
          <w:sz w:val="20"/>
          <w:szCs w:val="20"/>
        </w:rPr>
      </w:r>
      <w:r w:rsidRPr="007930A7">
        <w:rPr>
          <w:rFonts w:ascii="Arial" w:hAnsi="Arial" w:cs="Arial"/>
          <w:sz w:val="20"/>
          <w:szCs w:val="20"/>
        </w:rPr>
        <w:fldChar w:fldCharType="separate"/>
      </w:r>
      <w:r w:rsidRPr="007930A7">
        <w:rPr>
          <w:rStyle w:val="Hyperlink"/>
          <w:rFonts w:ascii="Arial" w:hAnsi="Arial" w:cs="Arial"/>
          <w:color w:val="auto"/>
          <w:sz w:val="20"/>
          <w:szCs w:val="20"/>
          <w:u w:val="none"/>
        </w:rPr>
        <w:t>(Rn.19)</w:t>
      </w:r>
      <w:r w:rsidRPr="007930A7">
        <w:rPr>
          <w:rFonts w:ascii="Arial" w:hAnsi="Arial" w:cs="Arial"/>
          <w:sz w:val="20"/>
          <w:szCs w:val="20"/>
        </w:rPr>
        <w:fldChar w:fldCharType="end"/>
      </w:r>
      <w:bookmarkEnd w:id="11"/>
      <w:r w:rsidRPr="007930A7">
        <w:rPr>
          <w:rFonts w:ascii="Arial" w:hAnsi="Arial" w:cs="Arial"/>
          <w:sz w:val="20"/>
          <w:szCs w:val="20"/>
        </w:rPr>
        <w:t>.</w:t>
      </w:r>
    </w:p>
    <w:p w:rsidR="00D5042F" w:rsidRDefault="00D5042F" w:rsidP="006C2122">
      <w:pPr>
        <w:rPr>
          <w:rFonts w:ascii="Arial" w:hAnsi="Arial" w:cs="Arial"/>
          <w:sz w:val="20"/>
          <w:szCs w:val="20"/>
        </w:rPr>
      </w:pPr>
    </w:p>
    <w:p w:rsidR="007930A7" w:rsidRDefault="007930A7" w:rsidP="006C2122">
      <w:pPr>
        <w:rPr>
          <w:rFonts w:ascii="Arial" w:hAnsi="Arial" w:cs="Arial"/>
          <w:sz w:val="20"/>
          <w:szCs w:val="20"/>
        </w:rPr>
      </w:pPr>
    </w:p>
    <w:p w:rsidR="007930A7" w:rsidRDefault="007930A7" w:rsidP="006C2122">
      <w:pPr>
        <w:rPr>
          <w:rFonts w:ascii="Arial" w:hAnsi="Arial" w:cs="Arial"/>
          <w:sz w:val="20"/>
          <w:szCs w:val="20"/>
        </w:rPr>
      </w:pPr>
    </w:p>
    <w:p w:rsidR="007930A7" w:rsidRDefault="007930A7" w:rsidP="006C2122">
      <w:pPr>
        <w:rPr>
          <w:rFonts w:ascii="Arial" w:hAnsi="Arial" w:cs="Arial"/>
          <w:sz w:val="20"/>
          <w:szCs w:val="20"/>
        </w:rPr>
      </w:pPr>
    </w:p>
    <w:p w:rsidR="007930A7" w:rsidRPr="00BD1B6F" w:rsidRDefault="007930A7" w:rsidP="007930A7">
      <w:pPr>
        <w:jc w:val="both"/>
        <w:rPr>
          <w:rFonts w:ascii="Arial" w:hAnsi="Arial" w:cs="Arial"/>
          <w:sz w:val="20"/>
          <w:szCs w:val="20"/>
        </w:rPr>
      </w:pPr>
      <w:r w:rsidRPr="00BD1B6F">
        <w:rPr>
          <w:rFonts w:ascii="Arial" w:hAnsi="Arial" w:cs="Arial"/>
          <w:sz w:val="20"/>
          <w:szCs w:val="20"/>
        </w:rPr>
        <w:t>Für Rückfragen stehe ich Ihnen gerne zur Verfügung.</w:t>
      </w:r>
    </w:p>
    <w:p w:rsidR="007930A7" w:rsidRPr="00BD1B6F" w:rsidRDefault="007930A7" w:rsidP="007930A7">
      <w:pPr>
        <w:tabs>
          <w:tab w:val="left" w:pos="3330"/>
        </w:tabs>
        <w:jc w:val="both"/>
        <w:rPr>
          <w:rFonts w:ascii="Arial" w:hAnsi="Arial" w:cs="Arial"/>
          <w:sz w:val="20"/>
          <w:szCs w:val="20"/>
        </w:rPr>
      </w:pPr>
    </w:p>
    <w:p w:rsidR="007930A7" w:rsidRPr="00BD1B6F" w:rsidRDefault="007930A7" w:rsidP="007930A7">
      <w:pPr>
        <w:jc w:val="both"/>
        <w:rPr>
          <w:rFonts w:ascii="Arial" w:hAnsi="Arial" w:cs="Arial"/>
          <w:sz w:val="20"/>
          <w:szCs w:val="20"/>
        </w:rPr>
      </w:pPr>
      <w:r w:rsidRPr="00BD1B6F">
        <w:rPr>
          <w:rFonts w:ascii="Arial" w:hAnsi="Arial" w:cs="Arial"/>
          <w:sz w:val="20"/>
          <w:szCs w:val="20"/>
        </w:rPr>
        <w:t>Michael Henn</w:t>
      </w:r>
    </w:p>
    <w:p w:rsidR="007930A7" w:rsidRPr="00BD1B6F" w:rsidRDefault="007930A7" w:rsidP="007930A7">
      <w:pPr>
        <w:jc w:val="both"/>
        <w:rPr>
          <w:rFonts w:ascii="Arial" w:hAnsi="Arial" w:cs="Arial"/>
          <w:sz w:val="20"/>
          <w:szCs w:val="20"/>
        </w:rPr>
      </w:pPr>
      <w:r w:rsidRPr="00BD1B6F">
        <w:rPr>
          <w:rFonts w:ascii="Arial" w:hAnsi="Arial" w:cs="Arial"/>
          <w:sz w:val="20"/>
          <w:szCs w:val="20"/>
        </w:rPr>
        <w:t>Rechtsanwalt</w:t>
      </w:r>
    </w:p>
    <w:p w:rsidR="007930A7" w:rsidRPr="00BD1B6F" w:rsidRDefault="007930A7" w:rsidP="007930A7">
      <w:pPr>
        <w:jc w:val="both"/>
        <w:rPr>
          <w:rFonts w:ascii="Arial" w:hAnsi="Arial" w:cs="Arial"/>
          <w:sz w:val="20"/>
          <w:szCs w:val="20"/>
        </w:rPr>
      </w:pPr>
      <w:r w:rsidRPr="00BD1B6F">
        <w:rPr>
          <w:rFonts w:ascii="Arial" w:hAnsi="Arial" w:cs="Arial"/>
          <w:sz w:val="20"/>
          <w:szCs w:val="20"/>
        </w:rPr>
        <w:t>Fachanwalt für Erbrecht</w:t>
      </w:r>
    </w:p>
    <w:p w:rsidR="007930A7" w:rsidRPr="00BD1B6F" w:rsidRDefault="007930A7" w:rsidP="007930A7">
      <w:pPr>
        <w:jc w:val="both"/>
        <w:rPr>
          <w:rFonts w:ascii="Arial" w:hAnsi="Arial" w:cs="Arial"/>
          <w:sz w:val="20"/>
          <w:szCs w:val="20"/>
        </w:rPr>
      </w:pPr>
      <w:r w:rsidRPr="00BD1B6F">
        <w:rPr>
          <w:rFonts w:ascii="Arial" w:hAnsi="Arial" w:cs="Arial"/>
          <w:sz w:val="20"/>
          <w:szCs w:val="20"/>
        </w:rPr>
        <w:t xml:space="preserve">Fachanwalt für Arbeitsrecht </w:t>
      </w:r>
    </w:p>
    <w:p w:rsidR="007930A7" w:rsidRPr="00BD1B6F" w:rsidRDefault="007930A7" w:rsidP="007930A7">
      <w:pPr>
        <w:jc w:val="both"/>
        <w:rPr>
          <w:rFonts w:ascii="Arial" w:hAnsi="Arial" w:cs="Arial"/>
          <w:sz w:val="20"/>
          <w:szCs w:val="20"/>
        </w:rPr>
      </w:pPr>
      <w:r w:rsidRPr="00BD1B6F">
        <w:rPr>
          <w:rFonts w:ascii="Arial" w:hAnsi="Arial" w:cs="Arial"/>
          <w:sz w:val="20"/>
          <w:szCs w:val="20"/>
        </w:rPr>
        <w:t xml:space="preserve">Schriftleiter mittelstandsdepesche </w:t>
      </w:r>
    </w:p>
    <w:p w:rsidR="007930A7" w:rsidRPr="00BD1B6F" w:rsidRDefault="007930A7" w:rsidP="007930A7">
      <w:pPr>
        <w:jc w:val="both"/>
        <w:rPr>
          <w:rFonts w:ascii="Arial" w:hAnsi="Arial" w:cs="Arial"/>
          <w:sz w:val="20"/>
          <w:szCs w:val="20"/>
        </w:rPr>
      </w:pPr>
      <w:r w:rsidRPr="00BD1B6F">
        <w:rPr>
          <w:rFonts w:ascii="Arial" w:hAnsi="Arial" w:cs="Arial"/>
          <w:sz w:val="20"/>
          <w:szCs w:val="20"/>
        </w:rPr>
        <w:t>Rechtsanwälte Dr. Gaupp &amp; Coll.</w:t>
      </w:r>
    </w:p>
    <w:p w:rsidR="007930A7" w:rsidRPr="00BD1B6F" w:rsidRDefault="007930A7" w:rsidP="007930A7">
      <w:pPr>
        <w:jc w:val="both"/>
        <w:rPr>
          <w:rFonts w:ascii="Arial" w:hAnsi="Arial" w:cs="Arial"/>
          <w:sz w:val="20"/>
          <w:szCs w:val="20"/>
        </w:rPr>
      </w:pPr>
      <w:r w:rsidRPr="00BD1B6F">
        <w:rPr>
          <w:rFonts w:ascii="Arial" w:hAnsi="Arial" w:cs="Arial"/>
          <w:sz w:val="20"/>
          <w:szCs w:val="20"/>
        </w:rPr>
        <w:t xml:space="preserve">Kronprinzstr. 14 </w:t>
      </w:r>
    </w:p>
    <w:p w:rsidR="007930A7" w:rsidRPr="00BD1B6F" w:rsidRDefault="007930A7" w:rsidP="007930A7">
      <w:pPr>
        <w:jc w:val="both"/>
        <w:rPr>
          <w:rFonts w:ascii="Arial" w:hAnsi="Arial" w:cs="Arial"/>
          <w:sz w:val="20"/>
          <w:szCs w:val="20"/>
        </w:rPr>
      </w:pPr>
      <w:r w:rsidRPr="00BD1B6F">
        <w:rPr>
          <w:rFonts w:ascii="Arial" w:hAnsi="Arial" w:cs="Arial"/>
          <w:sz w:val="20"/>
          <w:szCs w:val="20"/>
        </w:rPr>
        <w:t>70173 Stuttgart</w:t>
      </w:r>
    </w:p>
    <w:p w:rsidR="007930A7" w:rsidRPr="00BD1B6F" w:rsidRDefault="007930A7" w:rsidP="007930A7">
      <w:pPr>
        <w:jc w:val="both"/>
        <w:rPr>
          <w:rFonts w:ascii="Arial" w:hAnsi="Arial" w:cs="Arial"/>
          <w:sz w:val="20"/>
          <w:szCs w:val="20"/>
        </w:rPr>
      </w:pPr>
      <w:r w:rsidRPr="00BD1B6F">
        <w:rPr>
          <w:rFonts w:ascii="Arial" w:hAnsi="Arial" w:cs="Arial"/>
          <w:sz w:val="20"/>
          <w:szCs w:val="20"/>
        </w:rPr>
        <w:t>Tel.: 0711/ 30 58 93-0</w:t>
      </w:r>
      <w:r w:rsidRPr="00BD1B6F">
        <w:rPr>
          <w:rFonts w:ascii="Arial" w:hAnsi="Arial" w:cs="Arial"/>
          <w:sz w:val="20"/>
          <w:szCs w:val="20"/>
        </w:rPr>
        <w:tab/>
      </w:r>
      <w:r w:rsidRPr="00BD1B6F">
        <w:rPr>
          <w:rFonts w:ascii="Arial" w:hAnsi="Arial" w:cs="Arial"/>
          <w:sz w:val="20"/>
          <w:szCs w:val="20"/>
        </w:rPr>
        <w:tab/>
        <w:t>Fax: 0711/ 30 58 93-11</w:t>
      </w:r>
    </w:p>
    <w:p w:rsidR="007930A7" w:rsidRPr="00BD1B6F" w:rsidRDefault="007930A7" w:rsidP="007930A7">
      <w:pPr>
        <w:jc w:val="both"/>
        <w:rPr>
          <w:rFonts w:ascii="Arial" w:hAnsi="Arial" w:cs="Arial"/>
          <w:sz w:val="20"/>
          <w:szCs w:val="20"/>
        </w:rPr>
      </w:pPr>
      <w:r w:rsidRPr="00BD1B6F">
        <w:rPr>
          <w:rFonts w:ascii="Arial" w:hAnsi="Arial" w:cs="Arial"/>
          <w:sz w:val="20"/>
          <w:szCs w:val="20"/>
        </w:rPr>
        <w:t>e-Mail: henn@drgaupp.de</w:t>
      </w:r>
      <w:r w:rsidRPr="00BD1B6F">
        <w:rPr>
          <w:rFonts w:ascii="Arial" w:hAnsi="Arial" w:cs="Arial"/>
          <w:sz w:val="20"/>
          <w:szCs w:val="20"/>
        </w:rPr>
        <w:tab/>
      </w:r>
      <w:hyperlink r:id="rId29" w:history="1">
        <w:r w:rsidRPr="00BD1B6F">
          <w:rPr>
            <w:rFonts w:ascii="Arial" w:hAnsi="Arial" w:cs="Arial"/>
            <w:color w:val="0000FF"/>
            <w:sz w:val="20"/>
            <w:szCs w:val="20"/>
            <w:u w:val="single"/>
          </w:rPr>
          <w:t>www.drgaupp.de</w:t>
        </w:r>
      </w:hyperlink>
    </w:p>
    <w:p w:rsidR="007930A7" w:rsidRPr="00BD1B6F" w:rsidRDefault="007930A7" w:rsidP="007930A7">
      <w:pPr>
        <w:spacing w:after="160" w:line="259" w:lineRule="auto"/>
        <w:rPr>
          <w:rFonts w:ascii="Arial" w:hAnsi="Arial" w:cs="Arial"/>
          <w:sz w:val="20"/>
          <w:szCs w:val="20"/>
        </w:rPr>
      </w:pPr>
    </w:p>
    <w:p w:rsidR="007930A7" w:rsidRPr="00BD1B6F" w:rsidRDefault="007930A7" w:rsidP="007930A7">
      <w:pPr>
        <w:rPr>
          <w:rFonts w:ascii="Arial" w:hAnsi="Arial" w:cs="Arial"/>
          <w:sz w:val="20"/>
          <w:szCs w:val="20"/>
          <w:lang w:eastAsia="en-US"/>
        </w:rPr>
      </w:pPr>
    </w:p>
    <w:p w:rsidR="007930A7" w:rsidRPr="00DB7C2A" w:rsidRDefault="007930A7" w:rsidP="006C2122">
      <w:pPr>
        <w:rPr>
          <w:rFonts w:ascii="Arial" w:hAnsi="Arial" w:cs="Arial"/>
          <w:sz w:val="20"/>
          <w:szCs w:val="20"/>
        </w:rPr>
      </w:pPr>
    </w:p>
    <w:sectPr w:rsidR="007930A7" w:rsidRPr="00DB7C2A">
      <w:head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99" w:rsidRDefault="00E71899" w:rsidP="00DB7C2A">
      <w:r>
        <w:separator/>
      </w:r>
    </w:p>
  </w:endnote>
  <w:endnote w:type="continuationSeparator" w:id="0">
    <w:p w:rsidR="00E71899" w:rsidRDefault="00E71899" w:rsidP="00D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99" w:rsidRDefault="00E71899" w:rsidP="00DB7C2A">
      <w:r>
        <w:separator/>
      </w:r>
    </w:p>
  </w:footnote>
  <w:footnote w:type="continuationSeparator" w:id="0">
    <w:p w:rsidR="00E71899" w:rsidRDefault="00E71899" w:rsidP="00DB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2A" w:rsidRPr="00DB7C2A" w:rsidRDefault="00DB7C2A" w:rsidP="00DB7C2A">
    <w:pPr>
      <w:tabs>
        <w:tab w:val="center" w:pos="4819"/>
        <w:tab w:val="right" w:pos="9071"/>
      </w:tabs>
      <w:jc w:val="center"/>
      <w:rPr>
        <w:rFonts w:ascii="Arial" w:hAnsi="Arial"/>
        <w:szCs w:val="20"/>
      </w:rPr>
    </w:pPr>
    <w:r w:rsidRPr="00DB7C2A">
      <w:rPr>
        <w:rFonts w:ascii="Arial" w:hAnsi="Arial" w:cs="Arial"/>
        <w:b/>
        <w:bCs/>
        <w:sz w:val="28"/>
        <w:szCs w:val="28"/>
      </w:rPr>
      <w:t>mittelstandsdepesche 08-2017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E3131"/>
    <w:multiLevelType w:val="hybridMultilevel"/>
    <w:tmpl w:val="38BE3E3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22"/>
    <w:rsid w:val="00257A61"/>
    <w:rsid w:val="003E5463"/>
    <w:rsid w:val="004B4B0F"/>
    <w:rsid w:val="00557845"/>
    <w:rsid w:val="006C2122"/>
    <w:rsid w:val="007930A7"/>
    <w:rsid w:val="008A7DC7"/>
    <w:rsid w:val="00930FAF"/>
    <w:rsid w:val="00B45167"/>
    <w:rsid w:val="00B94A82"/>
    <w:rsid w:val="00BD1B6F"/>
    <w:rsid w:val="00D32887"/>
    <w:rsid w:val="00D5042F"/>
    <w:rsid w:val="00D85A96"/>
    <w:rsid w:val="00D92003"/>
    <w:rsid w:val="00DB7C2A"/>
    <w:rsid w:val="00E71899"/>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4D617D-541B-41E3-82CB-5230320A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2122"/>
    <w:pPr>
      <w:spacing w:after="0" w:line="240" w:lineRule="auto"/>
    </w:pPr>
    <w:rPr>
      <w:rFonts w:ascii="Times New Roman" w:hAnsi="Times New Roman" w:cs="Times New Roman"/>
      <w:sz w:val="24"/>
      <w:szCs w:val="24"/>
      <w:lang w:eastAsia="de-DE"/>
    </w:rPr>
  </w:style>
  <w:style w:type="paragraph" w:styleId="berschrift3">
    <w:name w:val="heading 3"/>
    <w:basedOn w:val="Standard"/>
    <w:link w:val="berschrift3Zchn"/>
    <w:uiPriority w:val="9"/>
    <w:semiHidden/>
    <w:unhideWhenUsed/>
    <w:qFormat/>
    <w:rsid w:val="006C2122"/>
    <w:pPr>
      <w:spacing w:after="75" w:line="240" w:lineRule="atLeast"/>
      <w:outlineLvl w:val="2"/>
    </w:pPr>
    <w:rPr>
      <w:b/>
      <w:bCs/>
    </w:rPr>
  </w:style>
  <w:style w:type="paragraph" w:styleId="berschrift4">
    <w:name w:val="heading 4"/>
    <w:basedOn w:val="Standard"/>
    <w:link w:val="berschrift4Zchn"/>
    <w:uiPriority w:val="9"/>
    <w:semiHidden/>
    <w:unhideWhenUsed/>
    <w:qFormat/>
    <w:rsid w:val="006C2122"/>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locked/>
    <w:rsid w:val="006C2122"/>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6C2122"/>
    <w:rPr>
      <w:rFonts w:ascii="Times New Roman" w:hAnsi="Times New Roman" w:cs="Times New Roman"/>
      <w:color w:val="666666"/>
      <w:sz w:val="21"/>
      <w:szCs w:val="21"/>
      <w:lang w:val="x-none" w:eastAsia="de-DE"/>
    </w:rPr>
  </w:style>
  <w:style w:type="paragraph" w:styleId="Listenabsatz">
    <w:name w:val="List Paragraph"/>
    <w:basedOn w:val="Standard"/>
    <w:uiPriority w:val="34"/>
    <w:qFormat/>
    <w:rsid w:val="006C2122"/>
    <w:pPr>
      <w:ind w:left="720"/>
      <w:contextualSpacing/>
    </w:pPr>
  </w:style>
  <w:style w:type="character" w:styleId="Fett">
    <w:name w:val="Strong"/>
    <w:basedOn w:val="Absatz-Standardschriftart"/>
    <w:uiPriority w:val="22"/>
    <w:qFormat/>
    <w:rsid w:val="00D5042F"/>
    <w:rPr>
      <w:rFonts w:cs="Times New Roman"/>
      <w:b/>
      <w:bCs/>
    </w:rPr>
  </w:style>
  <w:style w:type="character" w:styleId="Hyperlink">
    <w:name w:val="Hyperlink"/>
    <w:basedOn w:val="Absatz-Standardschriftart"/>
    <w:uiPriority w:val="99"/>
    <w:semiHidden/>
    <w:unhideWhenUsed/>
    <w:rsid w:val="00D5042F"/>
    <w:rPr>
      <w:rFonts w:cs="Times New Roman"/>
      <w:color w:val="0000FF"/>
      <w:u w:val="single"/>
    </w:rPr>
  </w:style>
  <w:style w:type="paragraph" w:styleId="StandardWeb">
    <w:name w:val="Normal (Web)"/>
    <w:basedOn w:val="Standard"/>
    <w:uiPriority w:val="99"/>
    <w:unhideWhenUsed/>
    <w:rsid w:val="00D5042F"/>
    <w:pPr>
      <w:spacing w:before="100" w:beforeAutospacing="1" w:after="100" w:afterAutospacing="1"/>
    </w:pPr>
  </w:style>
  <w:style w:type="paragraph" w:styleId="Kopfzeile">
    <w:name w:val="header"/>
    <w:basedOn w:val="Standard"/>
    <w:link w:val="KopfzeileZchn"/>
    <w:uiPriority w:val="99"/>
    <w:unhideWhenUsed/>
    <w:rsid w:val="00DB7C2A"/>
    <w:pPr>
      <w:tabs>
        <w:tab w:val="center" w:pos="4536"/>
        <w:tab w:val="right" w:pos="9072"/>
      </w:tabs>
    </w:pPr>
  </w:style>
  <w:style w:type="character" w:customStyle="1" w:styleId="KopfzeileZchn">
    <w:name w:val="Kopfzeile Zchn"/>
    <w:basedOn w:val="Absatz-Standardschriftart"/>
    <w:link w:val="Kopfzeile"/>
    <w:uiPriority w:val="99"/>
    <w:locked/>
    <w:rsid w:val="00DB7C2A"/>
    <w:rPr>
      <w:rFonts w:ascii="Times New Roman" w:hAnsi="Times New Roman" w:cs="Times New Roman"/>
      <w:sz w:val="24"/>
      <w:szCs w:val="24"/>
      <w:lang w:val="x-none" w:eastAsia="de-DE"/>
    </w:rPr>
  </w:style>
  <w:style w:type="paragraph" w:styleId="Fuzeile">
    <w:name w:val="footer"/>
    <w:basedOn w:val="Standard"/>
    <w:link w:val="FuzeileZchn"/>
    <w:uiPriority w:val="99"/>
    <w:unhideWhenUsed/>
    <w:rsid w:val="00DB7C2A"/>
    <w:pPr>
      <w:tabs>
        <w:tab w:val="center" w:pos="4536"/>
        <w:tab w:val="right" w:pos="9072"/>
      </w:tabs>
    </w:pPr>
  </w:style>
  <w:style w:type="character" w:customStyle="1" w:styleId="FuzeileZchn">
    <w:name w:val="Fußzeile Zchn"/>
    <w:basedOn w:val="Absatz-Standardschriftart"/>
    <w:link w:val="Fuzeile"/>
    <w:uiPriority w:val="99"/>
    <w:locked/>
    <w:rsid w:val="00DB7C2A"/>
    <w:rPr>
      <w:rFonts w:ascii="Times New Roman" w:hAnsi="Times New Roman" w:cs="Times New Roman"/>
      <w:sz w:val="24"/>
      <w:szCs w:val="24"/>
      <w:lang w:val="x-none" w:eastAsia="de-DE"/>
    </w:rPr>
  </w:style>
  <w:style w:type="paragraph" w:styleId="Sprechblasentext">
    <w:name w:val="Balloon Text"/>
    <w:basedOn w:val="Standard"/>
    <w:link w:val="SprechblasentextZchn"/>
    <w:uiPriority w:val="99"/>
    <w:semiHidden/>
    <w:unhideWhenUsed/>
    <w:rsid w:val="005578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557845"/>
    <w:rPr>
      <w:rFonts w:ascii="Segoe UI" w:hAnsi="Segoe UI" w:cs="Segoe UI"/>
      <w:sz w:val="18"/>
      <w:szCs w:val="18"/>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73479">
      <w:marLeft w:val="0"/>
      <w:marRight w:val="0"/>
      <w:marTop w:val="0"/>
      <w:marBottom w:val="0"/>
      <w:divBdr>
        <w:top w:val="none" w:sz="0" w:space="0" w:color="auto"/>
        <w:left w:val="none" w:sz="0" w:space="0" w:color="auto"/>
        <w:bottom w:val="none" w:sz="0" w:space="0" w:color="auto"/>
        <w:right w:val="none" w:sz="0" w:space="0" w:color="auto"/>
      </w:divBdr>
      <w:divsChild>
        <w:div w:id="603273481">
          <w:marLeft w:val="0"/>
          <w:marRight w:val="0"/>
          <w:marTop w:val="0"/>
          <w:marBottom w:val="0"/>
          <w:divBdr>
            <w:top w:val="none" w:sz="0" w:space="0" w:color="auto"/>
            <w:left w:val="none" w:sz="0" w:space="0" w:color="auto"/>
            <w:bottom w:val="none" w:sz="0" w:space="0" w:color="auto"/>
            <w:right w:val="none" w:sz="0" w:space="0" w:color="auto"/>
          </w:divBdr>
          <w:divsChild>
            <w:div w:id="603273482">
              <w:marLeft w:val="0"/>
              <w:marRight w:val="0"/>
              <w:marTop w:val="0"/>
              <w:marBottom w:val="0"/>
              <w:divBdr>
                <w:top w:val="none" w:sz="0" w:space="0" w:color="auto"/>
                <w:left w:val="none" w:sz="0" w:space="0" w:color="auto"/>
                <w:bottom w:val="none" w:sz="0" w:space="0" w:color="auto"/>
                <w:right w:val="none" w:sz="0" w:space="0" w:color="auto"/>
              </w:divBdr>
              <w:divsChild>
                <w:div w:id="603273500">
                  <w:marLeft w:val="0"/>
                  <w:marRight w:val="0"/>
                  <w:marTop w:val="0"/>
                  <w:marBottom w:val="0"/>
                  <w:divBdr>
                    <w:top w:val="none" w:sz="0" w:space="0" w:color="auto"/>
                    <w:left w:val="none" w:sz="0" w:space="0" w:color="auto"/>
                    <w:bottom w:val="none" w:sz="0" w:space="0" w:color="auto"/>
                    <w:right w:val="none" w:sz="0" w:space="0" w:color="auto"/>
                  </w:divBdr>
                </w:div>
              </w:divsChild>
            </w:div>
            <w:div w:id="6032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486">
      <w:marLeft w:val="0"/>
      <w:marRight w:val="0"/>
      <w:marTop w:val="0"/>
      <w:marBottom w:val="0"/>
      <w:divBdr>
        <w:top w:val="none" w:sz="0" w:space="0" w:color="auto"/>
        <w:left w:val="none" w:sz="0" w:space="0" w:color="auto"/>
        <w:bottom w:val="none" w:sz="0" w:space="0" w:color="auto"/>
        <w:right w:val="none" w:sz="0" w:space="0" w:color="auto"/>
      </w:divBdr>
      <w:divsChild>
        <w:div w:id="603273515">
          <w:marLeft w:val="0"/>
          <w:marRight w:val="0"/>
          <w:marTop w:val="0"/>
          <w:marBottom w:val="0"/>
          <w:divBdr>
            <w:top w:val="none" w:sz="0" w:space="0" w:color="auto"/>
            <w:left w:val="none" w:sz="0" w:space="0" w:color="auto"/>
            <w:bottom w:val="none" w:sz="0" w:space="0" w:color="auto"/>
            <w:right w:val="none" w:sz="0" w:space="0" w:color="auto"/>
          </w:divBdr>
          <w:divsChild>
            <w:div w:id="603273498">
              <w:marLeft w:val="0"/>
              <w:marRight w:val="0"/>
              <w:marTop w:val="0"/>
              <w:marBottom w:val="0"/>
              <w:divBdr>
                <w:top w:val="none" w:sz="0" w:space="0" w:color="auto"/>
                <w:left w:val="none" w:sz="0" w:space="0" w:color="auto"/>
                <w:bottom w:val="none" w:sz="0" w:space="0" w:color="auto"/>
                <w:right w:val="none" w:sz="0" w:space="0" w:color="auto"/>
              </w:divBdr>
            </w:div>
            <w:div w:id="603273501">
              <w:marLeft w:val="0"/>
              <w:marRight w:val="0"/>
              <w:marTop w:val="0"/>
              <w:marBottom w:val="0"/>
              <w:divBdr>
                <w:top w:val="none" w:sz="0" w:space="0" w:color="auto"/>
                <w:left w:val="none" w:sz="0" w:space="0" w:color="auto"/>
                <w:bottom w:val="none" w:sz="0" w:space="0" w:color="auto"/>
                <w:right w:val="none" w:sz="0" w:space="0" w:color="auto"/>
              </w:divBdr>
              <w:divsChild>
                <w:div w:id="6032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73492">
      <w:marLeft w:val="0"/>
      <w:marRight w:val="0"/>
      <w:marTop w:val="0"/>
      <w:marBottom w:val="0"/>
      <w:divBdr>
        <w:top w:val="none" w:sz="0" w:space="0" w:color="auto"/>
        <w:left w:val="none" w:sz="0" w:space="0" w:color="auto"/>
        <w:bottom w:val="none" w:sz="0" w:space="0" w:color="auto"/>
        <w:right w:val="none" w:sz="0" w:space="0" w:color="auto"/>
      </w:divBdr>
      <w:divsChild>
        <w:div w:id="603273531">
          <w:marLeft w:val="0"/>
          <w:marRight w:val="0"/>
          <w:marTop w:val="0"/>
          <w:marBottom w:val="0"/>
          <w:divBdr>
            <w:top w:val="none" w:sz="0" w:space="0" w:color="auto"/>
            <w:left w:val="none" w:sz="0" w:space="0" w:color="auto"/>
            <w:bottom w:val="none" w:sz="0" w:space="0" w:color="auto"/>
            <w:right w:val="none" w:sz="0" w:space="0" w:color="auto"/>
          </w:divBdr>
          <w:divsChild>
            <w:div w:id="603273483">
              <w:marLeft w:val="0"/>
              <w:marRight w:val="0"/>
              <w:marTop w:val="0"/>
              <w:marBottom w:val="0"/>
              <w:divBdr>
                <w:top w:val="none" w:sz="0" w:space="0" w:color="auto"/>
                <w:left w:val="none" w:sz="0" w:space="0" w:color="auto"/>
                <w:bottom w:val="none" w:sz="0" w:space="0" w:color="auto"/>
                <w:right w:val="none" w:sz="0" w:space="0" w:color="auto"/>
              </w:divBdr>
              <w:divsChild>
                <w:div w:id="603273489">
                  <w:marLeft w:val="0"/>
                  <w:marRight w:val="0"/>
                  <w:marTop w:val="0"/>
                  <w:marBottom w:val="0"/>
                  <w:divBdr>
                    <w:top w:val="none" w:sz="0" w:space="0" w:color="auto"/>
                    <w:left w:val="none" w:sz="0" w:space="0" w:color="auto"/>
                    <w:bottom w:val="none" w:sz="0" w:space="0" w:color="auto"/>
                    <w:right w:val="none" w:sz="0" w:space="0" w:color="auto"/>
                  </w:divBdr>
                </w:div>
              </w:divsChild>
            </w:div>
            <w:div w:id="6032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495">
      <w:marLeft w:val="0"/>
      <w:marRight w:val="0"/>
      <w:marTop w:val="0"/>
      <w:marBottom w:val="0"/>
      <w:divBdr>
        <w:top w:val="none" w:sz="0" w:space="0" w:color="auto"/>
        <w:left w:val="none" w:sz="0" w:space="0" w:color="auto"/>
        <w:bottom w:val="none" w:sz="0" w:space="0" w:color="auto"/>
        <w:right w:val="none" w:sz="0" w:space="0" w:color="auto"/>
      </w:divBdr>
      <w:divsChild>
        <w:div w:id="603273490">
          <w:marLeft w:val="0"/>
          <w:marRight w:val="0"/>
          <w:marTop w:val="0"/>
          <w:marBottom w:val="0"/>
          <w:divBdr>
            <w:top w:val="none" w:sz="0" w:space="0" w:color="auto"/>
            <w:left w:val="none" w:sz="0" w:space="0" w:color="auto"/>
            <w:bottom w:val="none" w:sz="0" w:space="0" w:color="auto"/>
            <w:right w:val="none" w:sz="0" w:space="0" w:color="auto"/>
          </w:divBdr>
          <w:divsChild>
            <w:div w:id="603273491">
              <w:marLeft w:val="0"/>
              <w:marRight w:val="0"/>
              <w:marTop w:val="0"/>
              <w:marBottom w:val="0"/>
              <w:divBdr>
                <w:top w:val="none" w:sz="0" w:space="0" w:color="auto"/>
                <w:left w:val="none" w:sz="0" w:space="0" w:color="auto"/>
                <w:bottom w:val="none" w:sz="0" w:space="0" w:color="auto"/>
                <w:right w:val="none" w:sz="0" w:space="0" w:color="auto"/>
              </w:divBdr>
            </w:div>
            <w:div w:id="603273513">
              <w:marLeft w:val="0"/>
              <w:marRight w:val="0"/>
              <w:marTop w:val="0"/>
              <w:marBottom w:val="0"/>
              <w:divBdr>
                <w:top w:val="none" w:sz="0" w:space="0" w:color="auto"/>
                <w:left w:val="none" w:sz="0" w:space="0" w:color="auto"/>
                <w:bottom w:val="none" w:sz="0" w:space="0" w:color="auto"/>
                <w:right w:val="none" w:sz="0" w:space="0" w:color="auto"/>
              </w:divBdr>
              <w:divsChild>
                <w:div w:id="603273480">
                  <w:marLeft w:val="0"/>
                  <w:marRight w:val="0"/>
                  <w:marTop w:val="0"/>
                  <w:marBottom w:val="0"/>
                  <w:divBdr>
                    <w:top w:val="none" w:sz="0" w:space="0" w:color="auto"/>
                    <w:left w:val="none" w:sz="0" w:space="0" w:color="auto"/>
                    <w:bottom w:val="none" w:sz="0" w:space="0" w:color="auto"/>
                    <w:right w:val="none" w:sz="0" w:space="0" w:color="auto"/>
                  </w:divBdr>
                </w:div>
              </w:divsChild>
            </w:div>
            <w:div w:id="603273521">
              <w:marLeft w:val="0"/>
              <w:marRight w:val="0"/>
              <w:marTop w:val="0"/>
              <w:marBottom w:val="0"/>
              <w:divBdr>
                <w:top w:val="none" w:sz="0" w:space="0" w:color="auto"/>
                <w:left w:val="none" w:sz="0" w:space="0" w:color="auto"/>
                <w:bottom w:val="none" w:sz="0" w:space="0" w:color="auto"/>
                <w:right w:val="none" w:sz="0" w:space="0" w:color="auto"/>
              </w:divBdr>
              <w:divsChild>
                <w:div w:id="603273487">
                  <w:marLeft w:val="0"/>
                  <w:marRight w:val="0"/>
                  <w:marTop w:val="0"/>
                  <w:marBottom w:val="0"/>
                  <w:divBdr>
                    <w:top w:val="none" w:sz="0" w:space="0" w:color="auto"/>
                    <w:left w:val="none" w:sz="0" w:space="0" w:color="auto"/>
                    <w:bottom w:val="none" w:sz="0" w:space="0" w:color="auto"/>
                    <w:right w:val="none" w:sz="0" w:space="0" w:color="auto"/>
                  </w:divBdr>
                </w:div>
              </w:divsChild>
            </w:div>
            <w:div w:id="603273526">
              <w:marLeft w:val="0"/>
              <w:marRight w:val="0"/>
              <w:marTop w:val="0"/>
              <w:marBottom w:val="0"/>
              <w:divBdr>
                <w:top w:val="none" w:sz="0" w:space="0" w:color="auto"/>
                <w:left w:val="none" w:sz="0" w:space="0" w:color="auto"/>
                <w:bottom w:val="none" w:sz="0" w:space="0" w:color="auto"/>
                <w:right w:val="none" w:sz="0" w:space="0" w:color="auto"/>
              </w:divBdr>
            </w:div>
          </w:divsChild>
        </w:div>
        <w:div w:id="603273514">
          <w:marLeft w:val="0"/>
          <w:marRight w:val="0"/>
          <w:marTop w:val="0"/>
          <w:marBottom w:val="0"/>
          <w:divBdr>
            <w:top w:val="none" w:sz="0" w:space="0" w:color="auto"/>
            <w:left w:val="none" w:sz="0" w:space="0" w:color="auto"/>
            <w:bottom w:val="none" w:sz="0" w:space="0" w:color="auto"/>
            <w:right w:val="none" w:sz="0" w:space="0" w:color="auto"/>
          </w:divBdr>
          <w:divsChild>
            <w:div w:id="603273512">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603273502">
      <w:marLeft w:val="0"/>
      <w:marRight w:val="0"/>
      <w:marTop w:val="0"/>
      <w:marBottom w:val="0"/>
      <w:divBdr>
        <w:top w:val="none" w:sz="0" w:space="0" w:color="auto"/>
        <w:left w:val="none" w:sz="0" w:space="0" w:color="auto"/>
        <w:bottom w:val="none" w:sz="0" w:space="0" w:color="auto"/>
        <w:right w:val="none" w:sz="0" w:space="0" w:color="auto"/>
      </w:divBdr>
      <w:divsChild>
        <w:div w:id="603273507">
          <w:marLeft w:val="0"/>
          <w:marRight w:val="0"/>
          <w:marTop w:val="0"/>
          <w:marBottom w:val="0"/>
          <w:divBdr>
            <w:top w:val="none" w:sz="0" w:space="0" w:color="auto"/>
            <w:left w:val="none" w:sz="0" w:space="0" w:color="auto"/>
            <w:bottom w:val="none" w:sz="0" w:space="0" w:color="auto"/>
            <w:right w:val="none" w:sz="0" w:space="0" w:color="auto"/>
          </w:divBdr>
          <w:divsChild>
            <w:div w:id="603273522">
              <w:marLeft w:val="0"/>
              <w:marRight w:val="0"/>
              <w:marTop w:val="0"/>
              <w:marBottom w:val="0"/>
              <w:divBdr>
                <w:top w:val="none" w:sz="0" w:space="0" w:color="auto"/>
                <w:left w:val="none" w:sz="0" w:space="0" w:color="auto"/>
                <w:bottom w:val="none" w:sz="0" w:space="0" w:color="auto"/>
                <w:right w:val="none" w:sz="0" w:space="0" w:color="auto"/>
              </w:divBdr>
              <w:divsChild>
                <w:div w:id="603273504">
                  <w:marLeft w:val="0"/>
                  <w:marRight w:val="0"/>
                  <w:marTop w:val="0"/>
                  <w:marBottom w:val="0"/>
                  <w:divBdr>
                    <w:top w:val="none" w:sz="0" w:space="0" w:color="auto"/>
                    <w:left w:val="none" w:sz="0" w:space="0" w:color="auto"/>
                    <w:bottom w:val="none" w:sz="0" w:space="0" w:color="auto"/>
                    <w:right w:val="none" w:sz="0" w:space="0" w:color="auto"/>
                  </w:divBdr>
                </w:div>
              </w:divsChild>
            </w:div>
            <w:div w:id="6032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519">
      <w:marLeft w:val="0"/>
      <w:marRight w:val="0"/>
      <w:marTop w:val="0"/>
      <w:marBottom w:val="0"/>
      <w:divBdr>
        <w:top w:val="none" w:sz="0" w:space="0" w:color="auto"/>
        <w:left w:val="none" w:sz="0" w:space="0" w:color="auto"/>
        <w:bottom w:val="none" w:sz="0" w:space="0" w:color="auto"/>
        <w:right w:val="none" w:sz="0" w:space="0" w:color="auto"/>
      </w:divBdr>
      <w:divsChild>
        <w:div w:id="603273511">
          <w:marLeft w:val="0"/>
          <w:marRight w:val="0"/>
          <w:marTop w:val="0"/>
          <w:marBottom w:val="0"/>
          <w:divBdr>
            <w:top w:val="none" w:sz="0" w:space="0" w:color="auto"/>
            <w:left w:val="none" w:sz="0" w:space="0" w:color="auto"/>
            <w:bottom w:val="none" w:sz="0" w:space="0" w:color="auto"/>
            <w:right w:val="none" w:sz="0" w:space="0" w:color="auto"/>
          </w:divBdr>
          <w:divsChild>
            <w:div w:id="603273505">
              <w:marLeft w:val="0"/>
              <w:marRight w:val="0"/>
              <w:marTop w:val="0"/>
              <w:marBottom w:val="0"/>
              <w:divBdr>
                <w:top w:val="none" w:sz="0" w:space="0" w:color="auto"/>
                <w:left w:val="none" w:sz="0" w:space="0" w:color="auto"/>
                <w:bottom w:val="none" w:sz="0" w:space="0" w:color="auto"/>
                <w:right w:val="none" w:sz="0" w:space="0" w:color="auto"/>
              </w:divBdr>
              <w:divsChild>
                <w:div w:id="603273506">
                  <w:marLeft w:val="0"/>
                  <w:marRight w:val="0"/>
                  <w:marTop w:val="0"/>
                  <w:marBottom w:val="0"/>
                  <w:divBdr>
                    <w:top w:val="none" w:sz="0" w:space="0" w:color="auto"/>
                    <w:left w:val="none" w:sz="0" w:space="0" w:color="auto"/>
                    <w:bottom w:val="none" w:sz="0" w:space="0" w:color="auto"/>
                    <w:right w:val="none" w:sz="0" w:space="0" w:color="auto"/>
                  </w:divBdr>
                </w:div>
              </w:divsChild>
            </w:div>
            <w:div w:id="6032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524">
      <w:marLeft w:val="0"/>
      <w:marRight w:val="0"/>
      <w:marTop w:val="0"/>
      <w:marBottom w:val="0"/>
      <w:divBdr>
        <w:top w:val="none" w:sz="0" w:space="0" w:color="auto"/>
        <w:left w:val="none" w:sz="0" w:space="0" w:color="auto"/>
        <w:bottom w:val="none" w:sz="0" w:space="0" w:color="auto"/>
        <w:right w:val="none" w:sz="0" w:space="0" w:color="auto"/>
      </w:divBdr>
      <w:divsChild>
        <w:div w:id="603273488">
          <w:marLeft w:val="0"/>
          <w:marRight w:val="0"/>
          <w:marTop w:val="0"/>
          <w:marBottom w:val="0"/>
          <w:divBdr>
            <w:top w:val="none" w:sz="0" w:space="0" w:color="auto"/>
            <w:left w:val="none" w:sz="0" w:space="0" w:color="auto"/>
            <w:bottom w:val="none" w:sz="0" w:space="0" w:color="auto"/>
            <w:right w:val="none" w:sz="0" w:space="0" w:color="auto"/>
          </w:divBdr>
          <w:divsChild>
            <w:div w:id="603273485">
              <w:marLeft w:val="-300"/>
              <w:marRight w:val="0"/>
              <w:marTop w:val="60"/>
              <w:marBottom w:val="0"/>
              <w:divBdr>
                <w:top w:val="none" w:sz="0" w:space="0" w:color="auto"/>
                <w:left w:val="none" w:sz="0" w:space="0" w:color="auto"/>
                <w:bottom w:val="none" w:sz="0" w:space="0" w:color="auto"/>
                <w:right w:val="none" w:sz="0" w:space="0" w:color="auto"/>
              </w:divBdr>
            </w:div>
          </w:divsChild>
        </w:div>
        <w:div w:id="603273509">
          <w:marLeft w:val="0"/>
          <w:marRight w:val="0"/>
          <w:marTop w:val="0"/>
          <w:marBottom w:val="0"/>
          <w:divBdr>
            <w:top w:val="none" w:sz="0" w:space="0" w:color="auto"/>
            <w:left w:val="none" w:sz="0" w:space="0" w:color="auto"/>
            <w:bottom w:val="none" w:sz="0" w:space="0" w:color="auto"/>
            <w:right w:val="none" w:sz="0" w:space="0" w:color="auto"/>
          </w:divBdr>
          <w:divsChild>
            <w:div w:id="603273478">
              <w:marLeft w:val="0"/>
              <w:marRight w:val="0"/>
              <w:marTop w:val="0"/>
              <w:marBottom w:val="0"/>
              <w:divBdr>
                <w:top w:val="none" w:sz="0" w:space="0" w:color="auto"/>
                <w:left w:val="none" w:sz="0" w:space="0" w:color="auto"/>
                <w:bottom w:val="none" w:sz="0" w:space="0" w:color="auto"/>
                <w:right w:val="none" w:sz="0" w:space="0" w:color="auto"/>
              </w:divBdr>
              <w:divsChild>
                <w:div w:id="603273503">
                  <w:marLeft w:val="0"/>
                  <w:marRight w:val="0"/>
                  <w:marTop w:val="0"/>
                  <w:marBottom w:val="0"/>
                  <w:divBdr>
                    <w:top w:val="none" w:sz="0" w:space="0" w:color="auto"/>
                    <w:left w:val="none" w:sz="0" w:space="0" w:color="auto"/>
                    <w:bottom w:val="none" w:sz="0" w:space="0" w:color="auto"/>
                    <w:right w:val="none" w:sz="0" w:space="0" w:color="auto"/>
                  </w:divBdr>
                </w:div>
              </w:divsChild>
            </w:div>
            <w:div w:id="603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525">
      <w:marLeft w:val="0"/>
      <w:marRight w:val="0"/>
      <w:marTop w:val="0"/>
      <w:marBottom w:val="0"/>
      <w:divBdr>
        <w:top w:val="none" w:sz="0" w:space="0" w:color="auto"/>
        <w:left w:val="none" w:sz="0" w:space="0" w:color="auto"/>
        <w:bottom w:val="none" w:sz="0" w:space="0" w:color="auto"/>
        <w:right w:val="none" w:sz="0" w:space="0" w:color="auto"/>
      </w:divBdr>
      <w:divsChild>
        <w:div w:id="603273496">
          <w:marLeft w:val="0"/>
          <w:marRight w:val="0"/>
          <w:marTop w:val="0"/>
          <w:marBottom w:val="0"/>
          <w:divBdr>
            <w:top w:val="none" w:sz="0" w:space="0" w:color="auto"/>
            <w:left w:val="none" w:sz="0" w:space="0" w:color="auto"/>
            <w:bottom w:val="none" w:sz="0" w:space="0" w:color="auto"/>
            <w:right w:val="none" w:sz="0" w:space="0" w:color="auto"/>
          </w:divBdr>
          <w:divsChild>
            <w:div w:id="603273516">
              <w:marLeft w:val="0"/>
              <w:marRight w:val="0"/>
              <w:marTop w:val="0"/>
              <w:marBottom w:val="0"/>
              <w:divBdr>
                <w:top w:val="none" w:sz="0" w:space="0" w:color="auto"/>
                <w:left w:val="none" w:sz="0" w:space="0" w:color="auto"/>
                <w:bottom w:val="none" w:sz="0" w:space="0" w:color="auto"/>
                <w:right w:val="none" w:sz="0" w:space="0" w:color="auto"/>
              </w:divBdr>
            </w:div>
            <w:div w:id="603273517">
              <w:marLeft w:val="0"/>
              <w:marRight w:val="0"/>
              <w:marTop w:val="0"/>
              <w:marBottom w:val="0"/>
              <w:divBdr>
                <w:top w:val="none" w:sz="0" w:space="0" w:color="auto"/>
                <w:left w:val="none" w:sz="0" w:space="0" w:color="auto"/>
                <w:bottom w:val="none" w:sz="0" w:space="0" w:color="auto"/>
                <w:right w:val="none" w:sz="0" w:space="0" w:color="auto"/>
              </w:divBdr>
              <w:divsChild>
                <w:div w:id="6032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3534">
          <w:marLeft w:val="0"/>
          <w:marRight w:val="0"/>
          <w:marTop w:val="0"/>
          <w:marBottom w:val="0"/>
          <w:divBdr>
            <w:top w:val="none" w:sz="0" w:space="0" w:color="auto"/>
            <w:left w:val="none" w:sz="0" w:space="0" w:color="auto"/>
            <w:bottom w:val="none" w:sz="0" w:space="0" w:color="auto"/>
            <w:right w:val="none" w:sz="0" w:space="0" w:color="auto"/>
          </w:divBdr>
          <w:divsChild>
            <w:div w:id="603273494">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603273528">
      <w:marLeft w:val="0"/>
      <w:marRight w:val="0"/>
      <w:marTop w:val="0"/>
      <w:marBottom w:val="0"/>
      <w:divBdr>
        <w:top w:val="none" w:sz="0" w:space="0" w:color="auto"/>
        <w:left w:val="none" w:sz="0" w:space="0" w:color="auto"/>
        <w:bottom w:val="none" w:sz="0" w:space="0" w:color="auto"/>
        <w:right w:val="none" w:sz="0" w:space="0" w:color="auto"/>
      </w:divBdr>
    </w:div>
    <w:div w:id="603273529">
      <w:marLeft w:val="0"/>
      <w:marRight w:val="0"/>
      <w:marTop w:val="0"/>
      <w:marBottom w:val="0"/>
      <w:divBdr>
        <w:top w:val="none" w:sz="0" w:space="0" w:color="auto"/>
        <w:left w:val="none" w:sz="0" w:space="0" w:color="auto"/>
        <w:bottom w:val="none" w:sz="0" w:space="0" w:color="auto"/>
        <w:right w:val="none" w:sz="0" w:space="0" w:color="auto"/>
      </w:divBdr>
    </w:div>
    <w:div w:id="603273530">
      <w:marLeft w:val="0"/>
      <w:marRight w:val="0"/>
      <w:marTop w:val="0"/>
      <w:marBottom w:val="0"/>
      <w:divBdr>
        <w:top w:val="none" w:sz="0" w:space="0" w:color="auto"/>
        <w:left w:val="none" w:sz="0" w:space="0" w:color="auto"/>
        <w:bottom w:val="none" w:sz="0" w:space="0" w:color="auto"/>
        <w:right w:val="none" w:sz="0" w:space="0" w:color="auto"/>
      </w:divBdr>
    </w:div>
    <w:div w:id="603273533">
      <w:marLeft w:val="0"/>
      <w:marRight w:val="0"/>
      <w:marTop w:val="0"/>
      <w:marBottom w:val="0"/>
      <w:divBdr>
        <w:top w:val="none" w:sz="0" w:space="0" w:color="auto"/>
        <w:left w:val="none" w:sz="0" w:space="0" w:color="auto"/>
        <w:bottom w:val="none" w:sz="0" w:space="0" w:color="auto"/>
        <w:right w:val="none" w:sz="0" w:space="0" w:color="auto"/>
      </w:divBdr>
      <w:divsChild>
        <w:div w:id="603273484">
          <w:marLeft w:val="0"/>
          <w:marRight w:val="0"/>
          <w:marTop w:val="0"/>
          <w:marBottom w:val="0"/>
          <w:divBdr>
            <w:top w:val="none" w:sz="0" w:space="0" w:color="auto"/>
            <w:left w:val="none" w:sz="0" w:space="0" w:color="auto"/>
            <w:bottom w:val="none" w:sz="0" w:space="0" w:color="auto"/>
            <w:right w:val="none" w:sz="0" w:space="0" w:color="auto"/>
          </w:divBdr>
          <w:divsChild>
            <w:div w:id="603273493">
              <w:marLeft w:val="0"/>
              <w:marRight w:val="0"/>
              <w:marTop w:val="0"/>
              <w:marBottom w:val="0"/>
              <w:divBdr>
                <w:top w:val="none" w:sz="0" w:space="0" w:color="auto"/>
                <w:left w:val="none" w:sz="0" w:space="0" w:color="auto"/>
                <w:bottom w:val="none" w:sz="0" w:space="0" w:color="auto"/>
                <w:right w:val="none" w:sz="0" w:space="0" w:color="auto"/>
              </w:divBdr>
              <w:divsChild>
                <w:div w:id="603273499">
                  <w:marLeft w:val="0"/>
                  <w:marRight w:val="0"/>
                  <w:marTop w:val="0"/>
                  <w:marBottom w:val="0"/>
                  <w:divBdr>
                    <w:top w:val="none" w:sz="0" w:space="0" w:color="auto"/>
                    <w:left w:val="none" w:sz="0" w:space="0" w:color="auto"/>
                    <w:bottom w:val="none" w:sz="0" w:space="0" w:color="auto"/>
                    <w:right w:val="none" w:sz="0" w:space="0" w:color="auto"/>
                  </w:divBdr>
                </w:div>
              </w:divsChild>
            </w:div>
            <w:div w:id="6032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jportal/portal/t/wtn/page/jurisw.psml?pid=Dokumentanzeige&amp;showdoccase=1&amp;js_peid=Trefferliste&amp;documentnumber=96&amp;numberofresults=1101&amp;fromdoctodoc=yes&amp;doc.id=JURE170031481&amp;doc.part=L&amp;doc.price=0.0&amp;doc.hl=1" TargetMode="External"/><Relationship Id="rId13" Type="http://schemas.openxmlformats.org/officeDocument/2006/relationships/hyperlink" Target="https://www.juris.de/jportal/portal/t/wx0/page/jurisw.psml?pid=Dokumentanzeige&amp;showdoccase=1&amp;js_peid=Trefferliste&amp;documentnumber=26&amp;numberofresults=380&amp;fromdoctodoc=yes&amp;doc.id=BJNR001950896BJNE048203140&amp;doc.part=S&amp;doc.price=0.0" TargetMode="External"/><Relationship Id="rId18" Type="http://schemas.openxmlformats.org/officeDocument/2006/relationships/hyperlink" Target="https://www.juris.de/jportal/portal/t/x0o/page/jurisw.psml?pid=Dokumentanzeige&amp;showdoccase=1&amp;js_peid=Trefferliste&amp;documentnumber=9&amp;numberofresults=724&amp;fromdoctodoc=yes&amp;doc.id=JURE140009705&amp;doc.part=L&amp;doc.price=0.0" TargetMode="External"/><Relationship Id="rId26" Type="http://schemas.openxmlformats.org/officeDocument/2006/relationships/hyperlink" Target="https://www.juris.de/jportal/portal/t/xck/page/jurisw.psml?pid=Dokumentanzeige&amp;showdoccase=1&amp;js_peid=Trefferliste&amp;documentnumber=22&amp;numberofresults=931&amp;fromdoctodoc=yes&amp;doc.id=STRE891044550&amp;doc.part=K&amp;doc.price=0.0" TargetMode="External"/><Relationship Id="rId3" Type="http://schemas.openxmlformats.org/officeDocument/2006/relationships/settings" Target="settings.xml"/><Relationship Id="rId21" Type="http://schemas.openxmlformats.org/officeDocument/2006/relationships/hyperlink" Target="https://www.juris.de/jportal/portal/t/xck/page/jurisw.psml?pid=Dokumentanzeige&amp;showdoccase=1&amp;js_peid=Trefferliste&amp;documentnumber=22&amp;numberofresults=931&amp;fromdoctodoc=yes&amp;doc.id=BJNR010050934BJNE010022817&amp;doc.part=S&amp;doc.price=0.0" TargetMode="External"/><Relationship Id="rId7" Type="http://schemas.openxmlformats.org/officeDocument/2006/relationships/hyperlink" Target="https://www.juris.de/jportal/portal/t/wtn/page/jurisw.psml?pid=Dokumentanzeige&amp;showdoccase=1&amp;js_peid=Trefferliste&amp;documentnumber=96&amp;numberofresults=1101&amp;fromdoctodoc=yes&amp;doc.id=JURE170031481&amp;doc.part=L&amp;doc.price=0.0&amp;doc.hl=1" TargetMode="External"/><Relationship Id="rId12" Type="http://schemas.openxmlformats.org/officeDocument/2006/relationships/hyperlink" Target="https://www.juris.de/jportal/portal/t/wx0/page/jurisw.psml?pid=Dokumentanzeige&amp;showdoccase=1&amp;js_peid=Trefferliste&amp;documentnumber=26&amp;numberofresults=380&amp;fromdoctodoc=yes&amp;doc.id=BJNR001950896BJNE019103140&amp;doc.part=S&amp;doc.price=0.0" TargetMode="External"/><Relationship Id="rId17" Type="http://schemas.openxmlformats.org/officeDocument/2006/relationships/hyperlink" Target="https://www.juris.de/jportal/portal/t/x0o/page/jurisw.psml?pid=Dokumentanzeige&amp;showdoccase=1&amp;js_peid=Trefferliste&amp;documentnumber=9&amp;numberofresults=724&amp;fromdoctodoc=yes&amp;doc.id=BJNR002190897BJNE010200300&amp;doc.part=S&amp;doc.price=0.0" TargetMode="External"/><Relationship Id="rId25" Type="http://schemas.openxmlformats.org/officeDocument/2006/relationships/hyperlink" Target="https://www.juris.de/jportal/portal/t/xck/page/jurisw.psml?pid=Dokumentanzeige&amp;showdoccase=1&amp;js_peid=Trefferliste&amp;documentnumber=22&amp;numberofresults=931&amp;fromdoctodoc=yes&amp;doc.id=BJNR010050934BJNE010022817&amp;doc.part=S&amp;doc.price=0.0" TargetMode="External"/><Relationship Id="rId2" Type="http://schemas.openxmlformats.org/officeDocument/2006/relationships/styles" Target="styles.xml"/><Relationship Id="rId16" Type="http://schemas.openxmlformats.org/officeDocument/2006/relationships/hyperlink" Target="https://www.juris.de/jportal/portal/t/wx0/page/jurisw.psml?pid=Dokumentanzeige&amp;showdoccase=1&amp;js_peid=Trefferliste&amp;documentnumber=26&amp;numberofresults=380&amp;fromdoctodoc=yes&amp;doc.id=KORE316812014&amp;doc.part=L&amp;doc.price=0.0" TargetMode="External"/><Relationship Id="rId20" Type="http://schemas.openxmlformats.org/officeDocument/2006/relationships/hyperlink" Target="https://www.juris.de/jportal/portal/t/x9d/page/jurisw.psml?pid=Dokumentanzeige&amp;showdoccase=1&amp;js_peid=Trefferliste&amp;documentnumber=10&amp;numberofresults=545&amp;fromdoctodoc=yes&amp;doc.id=BJNR005330950BJNE116202301&amp;doc.part=S&amp;doc.price=0.0" TargetMode="External"/><Relationship Id="rId29" Type="http://schemas.openxmlformats.org/officeDocument/2006/relationships/hyperlink" Target="http://www.drgaupp.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is.de/jportal/portal/t/wx0/page/jurisw.psml?pid=Dokumentanzeige&amp;showdoccase=1&amp;js_peid=Trefferliste&amp;documentnumber=26&amp;numberofresults=380&amp;fromdoctodoc=yes&amp;doc.id=BJNR001950896BJNE260101377&amp;doc.part=S&amp;doc.price=0.0" TargetMode="External"/><Relationship Id="rId24" Type="http://schemas.openxmlformats.org/officeDocument/2006/relationships/hyperlink" Target="https://www.juris.de/jportal/portal/t/xck/page/jurisw.psml?pid=Dokumentanzeige&amp;showdoccase=1&amp;js_peid=Trefferliste&amp;documentnumber=22&amp;numberofresults=931&amp;fromdoctodoc=yes&amp;doc.id=BJNR010050934BJNE010022817&amp;doc.part=S&amp;doc.price=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uris.de/jportal/portal/t/wx0/page/jurisw.psml?pid=Dokumentanzeige&amp;showdoccase=1&amp;js_peid=Trefferliste&amp;documentnumber=26&amp;numberofresults=380&amp;fromdoctodoc=yes&amp;doc.id=KORE316812014&amp;doc.part=K&amp;doc.price=0.0" TargetMode="External"/><Relationship Id="rId23" Type="http://schemas.openxmlformats.org/officeDocument/2006/relationships/hyperlink" Target="https://www.juris.de/jportal/portal/t/xck/page/jurisw.psml?pid=Dokumentanzeige&amp;showdoccase=1&amp;js_peid=Trefferliste&amp;documentnumber=22&amp;numberofresults=931&amp;fromdoctodoc=yes&amp;doc.id=STRE201710187&amp;doc.part=L&amp;doc.price=0.0&amp;doc.hl=1" TargetMode="External"/><Relationship Id="rId28" Type="http://schemas.openxmlformats.org/officeDocument/2006/relationships/hyperlink" Target="https://www.juris.de/jportal/portal/t/xck/page/jurisw.psml?pid=Dokumentanzeige&amp;showdoccase=1&amp;js_peid=Trefferliste&amp;documentnumber=22&amp;numberofresults=931&amp;fromdoctodoc=yes&amp;doc.id=STRE891044550&amp;doc.part=K&amp;doc.price=0.0" TargetMode="External"/><Relationship Id="rId10" Type="http://schemas.openxmlformats.org/officeDocument/2006/relationships/hyperlink" Target="https://www.juris.de/jportal/portal/t/wx0/page/jurisw.psml?pid=Dokumentanzeige&amp;showdoccase=1&amp;js_peid=Trefferliste&amp;documentnumber=26&amp;numberofresults=380&amp;fromdoctodoc=yes&amp;doc.id=BJNR001950896BJNE260101377&amp;doc.part=S&amp;doc.price=0.0" TargetMode="External"/><Relationship Id="rId19" Type="http://schemas.openxmlformats.org/officeDocument/2006/relationships/hyperlink" Target="https://www.juris.de/jportal/portal/t/x9d/page/jurisw.psml?pid=Dokumentanzeige&amp;showdoccase=1&amp;js_peid=Trefferliste&amp;documentnumber=10&amp;numberofresults=545&amp;fromdoctodoc=yes&amp;doc.id=BJNR005330950BJNE115702301&amp;doc.part=S&amp;doc.price=0.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ris.de/jportal/portal/t/wtn/page/jurisw.psml?pid=Dokumentanzeige&amp;showdoccase=1&amp;js_peid=Trefferliste&amp;documentnumber=96&amp;numberofresults=1101&amp;fromdoctodoc=yes&amp;doc.id=JURE170031481&amp;doc.part=L&amp;doc.price=0.0&amp;doc.hl=1" TargetMode="External"/><Relationship Id="rId14" Type="http://schemas.openxmlformats.org/officeDocument/2006/relationships/hyperlink" Target="https://www.juris.de/jportal/portal/t/wx0/page/jurisw.psml?pid=Dokumentanzeige&amp;showdoccase=1&amp;js_peid=Trefferliste&amp;documentnumber=26&amp;numberofresults=380&amp;fromdoctodoc=yes&amp;doc.id=KORE316812014&amp;doc.part=K&amp;doc.price=0.0" TargetMode="External"/><Relationship Id="rId22" Type="http://schemas.openxmlformats.org/officeDocument/2006/relationships/hyperlink" Target="https://www.juris.de/jportal/portal/t/xck/page/jurisw.psml?pid=Dokumentanzeige&amp;showdoccase=1&amp;js_peid=Trefferliste&amp;documentnumber=22&amp;numberofresults=931&amp;fromdoctodoc=yes&amp;doc.id=BJNR006130976BJNE025703819&amp;doc.part=S&amp;doc.price=0.0" TargetMode="External"/><Relationship Id="rId27" Type="http://schemas.openxmlformats.org/officeDocument/2006/relationships/hyperlink" Target="https://www.juris.de/jportal/portal/t/xck/page/jurisw.psml?pid=Dokumentanzeige&amp;showdoccase=1&amp;js_peid=Trefferliste&amp;documentnumber=22&amp;numberofresults=931&amp;fromdoctodoc=yes&amp;doc.id=STRE891044550&amp;doc.part=K&amp;doc.price=0.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A9E41D41.dotm</Template>
  <TotalTime>0</TotalTime>
  <Pages>3</Pages>
  <Words>2266</Words>
  <Characters>14277</Characters>
  <Application>Microsoft Office Word</Application>
  <DocSecurity>0</DocSecurity>
  <Lines>118</Lines>
  <Paragraphs>33</Paragraphs>
  <ScaleCrop>false</ScaleCrop>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cp:lastPrinted>2017-08-30T16:05:00Z</cp:lastPrinted>
  <dcterms:created xsi:type="dcterms:W3CDTF">2017-09-04T06:28:00Z</dcterms:created>
  <dcterms:modified xsi:type="dcterms:W3CDTF">2017-09-04T06:28:00Z</dcterms:modified>
</cp:coreProperties>
</file>