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7C9" w:rsidRPr="00852CC4" w:rsidRDefault="00F457C9" w:rsidP="00F457C9">
      <w:pPr>
        <w:tabs>
          <w:tab w:val="center" w:pos="4536"/>
          <w:tab w:val="right" w:pos="9072"/>
        </w:tabs>
        <w:spacing w:after="0" w:line="240" w:lineRule="auto"/>
        <w:jc w:val="right"/>
        <w:rPr>
          <w:rFonts w:cs="Arial"/>
          <w:lang w:val="en-US" w:eastAsia="de-DE"/>
        </w:rPr>
      </w:pPr>
      <w:bookmarkStart w:id="0" w:name="_GoBack"/>
      <w:bookmarkEnd w:id="0"/>
      <w:r w:rsidRPr="00852CC4">
        <w:rPr>
          <w:rFonts w:cs="Arial"/>
          <w:b/>
          <w:bCs/>
          <w:sz w:val="40"/>
          <w:szCs w:val="40"/>
          <w:lang w:val="en-US" w:eastAsia="de-DE"/>
        </w:rPr>
        <w:t>DASV</w:t>
      </w:r>
    </w:p>
    <w:p w:rsidR="00F457C9" w:rsidRPr="00852CC4" w:rsidRDefault="00F457C9" w:rsidP="00F457C9">
      <w:pPr>
        <w:spacing w:after="0" w:line="240" w:lineRule="auto"/>
        <w:jc w:val="right"/>
        <w:rPr>
          <w:rFonts w:cs="Arial"/>
          <w:sz w:val="20"/>
          <w:szCs w:val="20"/>
          <w:lang w:val="en-US" w:eastAsia="de-DE"/>
        </w:rPr>
      </w:pPr>
      <w:bookmarkStart w:id="1" w:name="2"/>
      <w:bookmarkStart w:id="2" w:name="9"/>
      <w:bookmarkEnd w:id="1"/>
      <w:bookmarkEnd w:id="2"/>
      <w:r w:rsidRPr="00852CC4">
        <w:rPr>
          <w:rFonts w:cs="Arial"/>
          <w:sz w:val="20"/>
          <w:szCs w:val="20"/>
          <w:lang w:val="en-US" w:eastAsia="de-DE"/>
        </w:rPr>
        <w:t>Deutsche Anwalts- und</w:t>
      </w:r>
    </w:p>
    <w:p w:rsidR="00F457C9" w:rsidRPr="00852CC4" w:rsidRDefault="00F457C9" w:rsidP="00F457C9">
      <w:pPr>
        <w:spacing w:after="0" w:line="240" w:lineRule="auto"/>
        <w:jc w:val="right"/>
        <w:rPr>
          <w:rFonts w:cs="Arial"/>
          <w:sz w:val="20"/>
          <w:szCs w:val="20"/>
          <w:lang w:val="en-US" w:eastAsia="de-DE"/>
        </w:rPr>
      </w:pPr>
      <w:r w:rsidRPr="00852CC4">
        <w:rPr>
          <w:rFonts w:cs="Arial"/>
          <w:sz w:val="20"/>
          <w:szCs w:val="20"/>
          <w:lang w:val="en-US" w:eastAsia="de-DE"/>
        </w:rPr>
        <w:t>Steuerberatervereinigung</w:t>
      </w:r>
    </w:p>
    <w:p w:rsidR="00F457C9" w:rsidRPr="00852CC4" w:rsidRDefault="00F457C9" w:rsidP="00F457C9">
      <w:pPr>
        <w:spacing w:after="0" w:line="240" w:lineRule="auto"/>
        <w:jc w:val="right"/>
        <w:rPr>
          <w:rFonts w:cs="Arial"/>
          <w:sz w:val="20"/>
          <w:szCs w:val="20"/>
          <w:lang w:val="en-US" w:eastAsia="de-DE"/>
        </w:rPr>
      </w:pPr>
      <w:r w:rsidRPr="00852CC4">
        <w:rPr>
          <w:rFonts w:cs="Arial"/>
          <w:sz w:val="20"/>
          <w:szCs w:val="20"/>
          <w:lang w:val="en-US" w:eastAsia="de-DE"/>
        </w:rPr>
        <w:t>für die mittelständische</w:t>
      </w:r>
    </w:p>
    <w:p w:rsidR="00F457C9" w:rsidRPr="00852CC4" w:rsidRDefault="00F457C9" w:rsidP="00F457C9">
      <w:pPr>
        <w:spacing w:after="0" w:line="240" w:lineRule="auto"/>
        <w:jc w:val="right"/>
        <w:rPr>
          <w:rFonts w:cs="Arial"/>
          <w:sz w:val="20"/>
          <w:szCs w:val="20"/>
          <w:lang w:val="en-US" w:eastAsia="de-DE"/>
        </w:rPr>
      </w:pPr>
      <w:r w:rsidRPr="00852CC4">
        <w:rPr>
          <w:rFonts w:cs="Arial"/>
          <w:sz w:val="20"/>
          <w:szCs w:val="20"/>
          <w:lang w:val="en-US" w:eastAsia="de-DE"/>
        </w:rPr>
        <w:t>Wirtschaft e. V.</w:t>
      </w:r>
    </w:p>
    <w:p w:rsidR="00F457C9" w:rsidRPr="00F457C9" w:rsidRDefault="00F457C9" w:rsidP="00F457C9">
      <w:pPr>
        <w:spacing w:after="0" w:line="360" w:lineRule="auto"/>
        <w:jc w:val="both"/>
        <w:outlineLvl w:val="0"/>
        <w:rPr>
          <w:rFonts w:cs="Arial"/>
          <w:bCs/>
          <w:kern w:val="36"/>
          <w:lang w:eastAsia="de-DE"/>
        </w:rPr>
      </w:pPr>
    </w:p>
    <w:p w:rsidR="00F457C9" w:rsidRDefault="00377893" w:rsidP="00F457C9">
      <w:pPr>
        <w:spacing w:after="0" w:line="360" w:lineRule="auto"/>
        <w:jc w:val="both"/>
        <w:outlineLvl w:val="0"/>
        <w:rPr>
          <w:rFonts w:cs="Arial"/>
          <w:b/>
          <w:bCs/>
          <w:kern w:val="36"/>
          <w:lang w:eastAsia="de-DE"/>
        </w:rPr>
      </w:pPr>
      <w:r w:rsidRPr="00F457C9">
        <w:rPr>
          <w:rFonts w:cs="Arial"/>
          <w:b/>
          <w:bCs/>
          <w:kern w:val="36"/>
          <w:lang w:eastAsia="de-DE"/>
        </w:rPr>
        <w:t>BMF-Schreib</w:t>
      </w:r>
      <w:r w:rsidR="00F457C9">
        <w:rPr>
          <w:rFonts w:cs="Arial"/>
          <w:b/>
          <w:bCs/>
          <w:kern w:val="36"/>
          <w:lang w:eastAsia="de-DE"/>
        </w:rPr>
        <w:t>en zum häuslichen Arbeitszimmer</w:t>
      </w:r>
    </w:p>
    <w:p w:rsidR="00F457C9" w:rsidRDefault="00F457C9" w:rsidP="00F457C9">
      <w:pPr>
        <w:spacing w:after="0" w:line="360" w:lineRule="auto"/>
        <w:jc w:val="both"/>
        <w:outlineLvl w:val="0"/>
        <w:rPr>
          <w:rFonts w:cs="Arial"/>
          <w:b/>
          <w:bCs/>
          <w:kern w:val="36"/>
          <w:lang w:eastAsia="de-DE"/>
        </w:rPr>
      </w:pPr>
    </w:p>
    <w:p w:rsidR="00F457C9" w:rsidRPr="00F457C9" w:rsidRDefault="00F457C9" w:rsidP="00F457C9">
      <w:pPr>
        <w:spacing w:after="0" w:line="360" w:lineRule="auto"/>
        <w:jc w:val="both"/>
        <w:outlineLvl w:val="0"/>
        <w:rPr>
          <w:rFonts w:cs="Arial"/>
          <w:bCs/>
          <w:kern w:val="36"/>
          <w:lang w:eastAsia="de-DE"/>
        </w:rPr>
      </w:pPr>
      <w:r w:rsidRPr="00F457C9">
        <w:rPr>
          <w:rFonts w:cs="Arial"/>
          <w:bCs/>
          <w:kern w:val="36"/>
          <w:lang w:eastAsia="de-DE"/>
        </w:rPr>
        <w:t>ein Artikel von Rechtsanwalt, Fachanwalt für Steuerrecht und Fachanwalt für Handels- und Gesellschaftsrecht Arnd Lackner, Saarbrücken</w:t>
      </w:r>
    </w:p>
    <w:p w:rsidR="00F457C9" w:rsidRPr="00F457C9" w:rsidRDefault="00F457C9" w:rsidP="00F457C9">
      <w:pPr>
        <w:spacing w:after="0" w:line="360" w:lineRule="auto"/>
        <w:jc w:val="both"/>
        <w:outlineLvl w:val="0"/>
        <w:rPr>
          <w:rFonts w:cs="Arial"/>
          <w:b/>
          <w:bCs/>
          <w:kern w:val="36"/>
          <w:lang w:eastAsia="de-DE"/>
        </w:rPr>
      </w:pPr>
    </w:p>
    <w:p w:rsidR="00377893" w:rsidRPr="00F457C9" w:rsidRDefault="00377893" w:rsidP="00F457C9">
      <w:pPr>
        <w:spacing w:after="0" w:line="360" w:lineRule="auto"/>
        <w:jc w:val="both"/>
        <w:outlineLvl w:val="1"/>
        <w:rPr>
          <w:rFonts w:cs="Arial"/>
          <w:b/>
          <w:bCs/>
          <w:lang w:eastAsia="de-DE"/>
        </w:rPr>
      </w:pPr>
      <w:r w:rsidRPr="00F457C9">
        <w:rPr>
          <w:rFonts w:cs="Arial"/>
          <w:b/>
          <w:bCs/>
          <w:lang w:eastAsia="de-DE"/>
        </w:rPr>
        <w:t>Die Abzugsfähigkeit für Kosten für ein häusliches Arbeitszimmer als Betriebsausgaben oder Werbungskosten bildet immer wieder einen Brennpunkt in der Auseinandersetzung zwischen Steuerpflichtigen und der Finanzverwaltung.</w:t>
      </w:r>
    </w:p>
    <w:p w:rsidR="00F457C9" w:rsidRDefault="00F457C9" w:rsidP="00F457C9">
      <w:pPr>
        <w:spacing w:after="0" w:line="360" w:lineRule="auto"/>
        <w:jc w:val="both"/>
        <w:rPr>
          <w:rFonts w:cs="Arial"/>
          <w:lang w:eastAsia="de-DE"/>
        </w:rPr>
      </w:pPr>
    </w:p>
    <w:p w:rsidR="00F457C9" w:rsidRDefault="00377893" w:rsidP="00F457C9">
      <w:pPr>
        <w:spacing w:after="0" w:line="360" w:lineRule="auto"/>
        <w:jc w:val="both"/>
        <w:rPr>
          <w:rFonts w:cs="Arial"/>
          <w:lang w:eastAsia="de-DE"/>
        </w:rPr>
      </w:pPr>
      <w:r w:rsidRPr="00F457C9">
        <w:rPr>
          <w:rFonts w:cs="Arial"/>
          <w:lang w:eastAsia="de-DE"/>
        </w:rPr>
        <w:t xml:space="preserve">Auch in der jüngsten Vergangenheit hat der Bundesfinanzhof daher immer wieder darüber zu entscheiden gehabt, ob und in welcher Höhe Aufwendungen für ein häusliches Arbeitszimmer abzugsfähig sind. Zuletzt mit Pressemitteilung vom 22. Februar 2017 hat der Bundesfinanzhof auf zwei Entscheidungen vom 15. Dezember 2016 hingewiesen. Im ersten Fall (Aktenzeichen </w:t>
      </w:r>
      <w:hyperlink r:id="rId7" w:tgtFrame="_blank" w:tooltip="BFH, 15.12.2016 - VI R 53/12: Aufwendungen für ein häusliches Arbeitszimmer bei Nutzung durch m..." w:history="1">
        <w:r w:rsidRPr="00F457C9">
          <w:rPr>
            <w:rFonts w:cs="Arial"/>
            <w:lang w:eastAsia="de-DE"/>
          </w:rPr>
          <w:t>VI R 53/12</w:t>
        </w:r>
      </w:hyperlink>
      <w:r w:rsidRPr="00F457C9">
        <w:rPr>
          <w:rFonts w:cs="Arial"/>
          <w:lang w:eastAsia="de-DE"/>
        </w:rPr>
        <w:t xml:space="preserve">) urteilt der Bundesfinanzhof über die Abzugsfähigkeit von Kosten eines gemeinsam genutzten häuslichen Arbeitszimmers. Dem zweiten Fall (Aktenzeichen </w:t>
      </w:r>
      <w:hyperlink r:id="rId8" w:tgtFrame="_blank" w:tooltip="BFH, 15.12.2016 - VI R 86/13: Höchstbetrag bei Nutzung eines Arbeitszimmers zur Einkünfteerziel..." w:history="1">
        <w:r w:rsidRPr="00F457C9">
          <w:rPr>
            <w:rFonts w:cs="Arial"/>
            <w:lang w:eastAsia="de-DE"/>
          </w:rPr>
          <w:t>VI R 86/13</w:t>
        </w:r>
      </w:hyperlink>
      <w:r w:rsidRPr="00F457C9">
        <w:rPr>
          <w:rFonts w:cs="Arial"/>
          <w:lang w:eastAsia="de-DE"/>
        </w:rPr>
        <w:t>) liegt die Feststellung zugrunde, dass in dem häuslichen Arbeitszimmer überhaupt eine berufliche oder betriebliche Tätigkeit ausgeübt wird.</w:t>
      </w:r>
    </w:p>
    <w:p w:rsidR="00F457C9" w:rsidRDefault="00F457C9" w:rsidP="00F457C9">
      <w:pPr>
        <w:spacing w:after="0" w:line="360" w:lineRule="auto"/>
        <w:jc w:val="both"/>
        <w:rPr>
          <w:rFonts w:cs="Arial"/>
          <w:lang w:eastAsia="de-DE"/>
        </w:rPr>
      </w:pPr>
    </w:p>
    <w:p w:rsidR="00F457C9" w:rsidRDefault="00377893" w:rsidP="00F457C9">
      <w:pPr>
        <w:spacing w:after="0" w:line="360" w:lineRule="auto"/>
        <w:jc w:val="both"/>
        <w:rPr>
          <w:rFonts w:cs="Arial"/>
          <w:lang w:eastAsia="de-DE"/>
        </w:rPr>
      </w:pPr>
      <w:r w:rsidRPr="00F457C9">
        <w:rPr>
          <w:rFonts w:cs="Arial"/>
          <w:lang w:eastAsia="de-DE"/>
        </w:rPr>
        <w:t>Das Bundesfinanzministerium hat diese aktuelle Rechtsprechung zum Anlass genommen, die Grundsätze der Abzugsfähigkeit der Kosten des häuslichen Arbeitszimmers in einem gemeinverbindlichen BMF-Schreiben neu zu regeln.</w:t>
      </w:r>
    </w:p>
    <w:p w:rsidR="00F457C9" w:rsidRDefault="00F457C9" w:rsidP="00F457C9">
      <w:pPr>
        <w:spacing w:after="0" w:line="360" w:lineRule="auto"/>
        <w:jc w:val="both"/>
        <w:rPr>
          <w:rFonts w:cs="Arial"/>
          <w:lang w:eastAsia="de-DE"/>
        </w:rPr>
      </w:pPr>
    </w:p>
    <w:p w:rsidR="00377893" w:rsidRPr="00F457C9" w:rsidRDefault="00377893" w:rsidP="00F457C9">
      <w:pPr>
        <w:spacing w:after="0" w:line="360" w:lineRule="auto"/>
        <w:jc w:val="both"/>
        <w:rPr>
          <w:rFonts w:cs="Arial"/>
          <w:lang w:eastAsia="de-DE"/>
        </w:rPr>
      </w:pPr>
      <w:r w:rsidRPr="00F457C9">
        <w:rPr>
          <w:rFonts w:cs="Arial"/>
          <w:lang w:eastAsia="de-DE"/>
        </w:rPr>
        <w:t xml:space="preserve">In diesem Schreiben stellt das Bundesfinanzministerium alle Beurteilungskriterien der Finanzverwaltung auf zu </w:t>
      </w:r>
    </w:p>
    <w:p w:rsidR="00377893" w:rsidRPr="00F457C9" w:rsidRDefault="00377893" w:rsidP="00F457C9">
      <w:pPr>
        <w:numPr>
          <w:ilvl w:val="0"/>
          <w:numId w:val="1"/>
        </w:numPr>
        <w:spacing w:after="0" w:line="360" w:lineRule="auto"/>
        <w:jc w:val="both"/>
        <w:rPr>
          <w:rFonts w:cs="Arial"/>
          <w:lang w:eastAsia="de-DE"/>
        </w:rPr>
      </w:pPr>
      <w:r w:rsidRPr="00F457C9">
        <w:rPr>
          <w:rFonts w:cs="Arial"/>
          <w:lang w:eastAsia="de-DE"/>
        </w:rPr>
        <w:t>Begriff des häuslichen Arbeitszimmers</w:t>
      </w:r>
    </w:p>
    <w:p w:rsidR="00377893" w:rsidRPr="00F457C9" w:rsidRDefault="00377893" w:rsidP="00F457C9">
      <w:pPr>
        <w:numPr>
          <w:ilvl w:val="0"/>
          <w:numId w:val="1"/>
        </w:numPr>
        <w:spacing w:after="0" w:line="360" w:lineRule="auto"/>
        <w:jc w:val="both"/>
        <w:rPr>
          <w:rFonts w:cs="Arial"/>
          <w:lang w:eastAsia="de-DE"/>
        </w:rPr>
      </w:pPr>
      <w:r w:rsidRPr="00F457C9">
        <w:rPr>
          <w:rFonts w:cs="Arial"/>
          <w:lang w:eastAsia="de-DE"/>
        </w:rPr>
        <w:t>Betroffene Aufwendungen</w:t>
      </w:r>
    </w:p>
    <w:p w:rsidR="00377893" w:rsidRPr="00F457C9" w:rsidRDefault="00377893" w:rsidP="00F457C9">
      <w:pPr>
        <w:numPr>
          <w:ilvl w:val="0"/>
          <w:numId w:val="1"/>
        </w:numPr>
        <w:spacing w:after="0" w:line="360" w:lineRule="auto"/>
        <w:jc w:val="both"/>
        <w:rPr>
          <w:rFonts w:cs="Arial"/>
          <w:lang w:eastAsia="de-DE"/>
        </w:rPr>
      </w:pPr>
      <w:r w:rsidRPr="00F457C9">
        <w:rPr>
          <w:rFonts w:cs="Arial"/>
          <w:lang w:eastAsia="de-DE"/>
        </w:rPr>
        <w:t>Mittelpunkt der gesamten betrieblichen und beruflichen Betätigung</w:t>
      </w:r>
    </w:p>
    <w:p w:rsidR="00377893" w:rsidRPr="00F457C9" w:rsidRDefault="00377893" w:rsidP="00F457C9">
      <w:pPr>
        <w:numPr>
          <w:ilvl w:val="0"/>
          <w:numId w:val="1"/>
        </w:numPr>
        <w:spacing w:after="0" w:line="360" w:lineRule="auto"/>
        <w:jc w:val="both"/>
        <w:rPr>
          <w:rFonts w:cs="Arial"/>
          <w:lang w:eastAsia="de-DE"/>
        </w:rPr>
      </w:pPr>
      <w:r w:rsidRPr="00F457C9">
        <w:rPr>
          <w:rFonts w:cs="Arial"/>
          <w:lang w:eastAsia="de-DE"/>
        </w:rPr>
        <w:t>kein anderer Arbeitsplatz für die berufliche oder betriebliche Betätigung</w:t>
      </w:r>
    </w:p>
    <w:p w:rsidR="00377893" w:rsidRPr="00F457C9" w:rsidRDefault="00377893" w:rsidP="00F457C9">
      <w:pPr>
        <w:numPr>
          <w:ilvl w:val="0"/>
          <w:numId w:val="1"/>
        </w:numPr>
        <w:spacing w:after="0" w:line="360" w:lineRule="auto"/>
        <w:jc w:val="both"/>
        <w:rPr>
          <w:rFonts w:cs="Arial"/>
          <w:lang w:eastAsia="de-DE"/>
        </w:rPr>
      </w:pPr>
      <w:r w:rsidRPr="00F457C9">
        <w:rPr>
          <w:rFonts w:cs="Arial"/>
          <w:lang w:eastAsia="de-DE"/>
        </w:rPr>
        <w:t>Nutzung des Arbeitszimmers zur Erzielung unterschiedlicher Einkünfte</w:t>
      </w:r>
    </w:p>
    <w:p w:rsidR="00377893" w:rsidRPr="00F457C9" w:rsidRDefault="00377893" w:rsidP="00F457C9">
      <w:pPr>
        <w:numPr>
          <w:ilvl w:val="0"/>
          <w:numId w:val="1"/>
        </w:numPr>
        <w:spacing w:after="0" w:line="360" w:lineRule="auto"/>
        <w:jc w:val="both"/>
        <w:rPr>
          <w:rFonts w:cs="Arial"/>
          <w:lang w:eastAsia="de-DE"/>
        </w:rPr>
      </w:pPr>
      <w:r w:rsidRPr="00F457C9">
        <w:rPr>
          <w:rFonts w:cs="Arial"/>
          <w:lang w:eastAsia="de-DE"/>
        </w:rPr>
        <w:t>Nutzung des Arbeitszimmers durch mehrere Steuerpflichtige</w:t>
      </w:r>
    </w:p>
    <w:p w:rsidR="00377893" w:rsidRPr="00F457C9" w:rsidRDefault="00377893" w:rsidP="00F457C9">
      <w:pPr>
        <w:numPr>
          <w:ilvl w:val="0"/>
          <w:numId w:val="1"/>
        </w:numPr>
        <w:spacing w:after="0" w:line="360" w:lineRule="auto"/>
        <w:jc w:val="both"/>
        <w:rPr>
          <w:rFonts w:cs="Arial"/>
          <w:lang w:eastAsia="de-DE"/>
        </w:rPr>
      </w:pPr>
      <w:r w:rsidRPr="00F457C9">
        <w:rPr>
          <w:rFonts w:cs="Arial"/>
          <w:lang w:eastAsia="de-DE"/>
        </w:rPr>
        <w:t>Nicht ganzjährige Nutzung des häuslichen Arbeitszimmers</w:t>
      </w:r>
    </w:p>
    <w:p w:rsidR="00377893" w:rsidRPr="00F457C9" w:rsidRDefault="00377893" w:rsidP="00F457C9">
      <w:pPr>
        <w:numPr>
          <w:ilvl w:val="0"/>
          <w:numId w:val="1"/>
        </w:numPr>
        <w:spacing w:after="0" w:line="360" w:lineRule="auto"/>
        <w:jc w:val="both"/>
        <w:rPr>
          <w:rFonts w:cs="Arial"/>
          <w:lang w:eastAsia="de-DE"/>
        </w:rPr>
      </w:pPr>
      <w:r w:rsidRPr="00F457C9">
        <w:rPr>
          <w:rFonts w:cs="Arial"/>
          <w:lang w:eastAsia="de-DE"/>
        </w:rPr>
        <w:t>Nutzung eines häuslichen Arbeitszimmers zu Ausbildungszwecken</w:t>
      </w:r>
    </w:p>
    <w:p w:rsidR="00377893" w:rsidRPr="00F457C9" w:rsidRDefault="00377893" w:rsidP="00F457C9">
      <w:pPr>
        <w:numPr>
          <w:ilvl w:val="0"/>
          <w:numId w:val="1"/>
        </w:numPr>
        <w:spacing w:after="0" w:line="360" w:lineRule="auto"/>
        <w:jc w:val="both"/>
        <w:rPr>
          <w:rFonts w:cs="Arial"/>
          <w:lang w:eastAsia="de-DE"/>
        </w:rPr>
      </w:pPr>
      <w:r w:rsidRPr="00F457C9">
        <w:rPr>
          <w:rFonts w:cs="Arial"/>
          <w:lang w:eastAsia="de-DE"/>
        </w:rPr>
        <w:t>Nutzung eines häuslichen Arbeitszimmers in Zeiten der Nichtbeschäftigung</w:t>
      </w:r>
    </w:p>
    <w:p w:rsidR="00377893" w:rsidRPr="00F457C9" w:rsidRDefault="00377893" w:rsidP="00F457C9">
      <w:pPr>
        <w:numPr>
          <w:ilvl w:val="0"/>
          <w:numId w:val="1"/>
        </w:numPr>
        <w:spacing w:after="0" w:line="360" w:lineRule="auto"/>
        <w:jc w:val="both"/>
        <w:rPr>
          <w:rFonts w:cs="Arial"/>
          <w:lang w:eastAsia="de-DE"/>
        </w:rPr>
      </w:pPr>
      <w:r w:rsidRPr="00F457C9">
        <w:rPr>
          <w:rFonts w:cs="Arial"/>
          <w:lang w:eastAsia="de-DE"/>
        </w:rPr>
        <w:lastRenderedPageBreak/>
        <w:t>Vermietung eines häuslichen Arbeitszimmers</w:t>
      </w:r>
    </w:p>
    <w:p w:rsidR="00377893" w:rsidRPr="00F457C9" w:rsidRDefault="00377893" w:rsidP="00F457C9">
      <w:pPr>
        <w:numPr>
          <w:ilvl w:val="0"/>
          <w:numId w:val="1"/>
        </w:numPr>
        <w:spacing w:after="0" w:line="360" w:lineRule="auto"/>
        <w:jc w:val="both"/>
        <w:rPr>
          <w:rFonts w:cs="Arial"/>
          <w:lang w:eastAsia="de-DE"/>
        </w:rPr>
      </w:pPr>
      <w:r w:rsidRPr="00F457C9">
        <w:rPr>
          <w:rFonts w:cs="Arial"/>
          <w:lang w:eastAsia="de-DE"/>
        </w:rPr>
        <w:t>Besondere Aufzeichnungspflichten.</w:t>
      </w:r>
    </w:p>
    <w:p w:rsidR="00F457C9" w:rsidRDefault="00F457C9" w:rsidP="00F457C9">
      <w:pPr>
        <w:spacing w:after="0" w:line="360" w:lineRule="auto"/>
        <w:jc w:val="both"/>
        <w:rPr>
          <w:rFonts w:cs="Arial"/>
          <w:lang w:eastAsia="de-DE"/>
        </w:rPr>
      </w:pPr>
    </w:p>
    <w:p w:rsidR="00F457C9" w:rsidRDefault="00377893" w:rsidP="00F457C9">
      <w:pPr>
        <w:spacing w:after="0" w:line="360" w:lineRule="auto"/>
        <w:jc w:val="both"/>
        <w:rPr>
          <w:rFonts w:cs="Arial"/>
          <w:lang w:eastAsia="de-DE"/>
        </w:rPr>
      </w:pPr>
      <w:r w:rsidRPr="00F457C9">
        <w:rPr>
          <w:rFonts w:cs="Arial"/>
          <w:lang w:eastAsia="de-DE"/>
        </w:rPr>
        <w:t xml:space="preserve">Das vollständige BMF-Schreiben IV C 6 – S-2145 vom 6. Oktober 2017 ist in allen offenen Fällen ab dem Veranlagungszeitraum 2007 anzuwenden und findet sich unter </w:t>
      </w:r>
      <w:hyperlink r:id="rId9" w:tgtFrame="_blank" w:tooltip="Öffnet einen externen Link in einem neuen Fenster" w:history="1">
        <w:r w:rsidRPr="00F457C9">
          <w:rPr>
            <w:rFonts w:cs="Arial"/>
            <w:lang w:eastAsia="de-DE"/>
          </w:rPr>
          <w:t>www.bundesfinanzministerium.de.</w:t>
        </w:r>
      </w:hyperlink>
    </w:p>
    <w:p w:rsidR="00F457C9" w:rsidRDefault="00F457C9" w:rsidP="00F457C9">
      <w:pPr>
        <w:spacing w:after="0" w:line="360" w:lineRule="auto"/>
        <w:jc w:val="both"/>
        <w:rPr>
          <w:rFonts w:cs="Arial"/>
          <w:b/>
          <w:bCs/>
          <w:lang w:eastAsia="de-DE"/>
        </w:rPr>
      </w:pPr>
    </w:p>
    <w:p w:rsidR="00F457C9" w:rsidRDefault="00377893" w:rsidP="00F457C9">
      <w:pPr>
        <w:spacing w:after="0" w:line="360" w:lineRule="auto"/>
        <w:jc w:val="both"/>
        <w:rPr>
          <w:rFonts w:cs="Arial"/>
          <w:b/>
          <w:bCs/>
          <w:lang w:eastAsia="de-DE"/>
        </w:rPr>
      </w:pPr>
      <w:r w:rsidRPr="00F457C9">
        <w:rPr>
          <w:rFonts w:cs="Arial"/>
          <w:b/>
          <w:bCs/>
          <w:lang w:eastAsia="de-DE"/>
        </w:rPr>
        <w:t>Fazit</w:t>
      </w:r>
    </w:p>
    <w:p w:rsidR="00377893" w:rsidRDefault="00377893" w:rsidP="00F457C9">
      <w:pPr>
        <w:spacing w:after="0" w:line="360" w:lineRule="auto"/>
        <w:jc w:val="both"/>
        <w:rPr>
          <w:rFonts w:cs="Arial"/>
          <w:lang w:eastAsia="de-DE"/>
        </w:rPr>
      </w:pPr>
      <w:r w:rsidRPr="00F457C9">
        <w:rPr>
          <w:rFonts w:cs="Arial"/>
          <w:lang w:eastAsia="de-DE"/>
        </w:rPr>
        <w:t>Das aktuelle BMF-Schreiben ersetzt das bisherige Schreiben vom 2. März 2011 und schafft nochmals Rechtssicherheit dahingehend, dass unter Beachtung der in diesem Schreiben dargestellten Grundsätze zukünftig Diskussionen mit der Finanzverwaltung über die Abzugsfähigkeit von Kosten eines häuslichen Arbeitszimmers vermieden werden können. Wesentlich hierbei ist, dass Aufwendungen für ein häusliches Arbeitszimmer bei der Gewinnermittlung nur berücksichtigt werden dürfen, wenn sie besonders aufgezeichnet sind. Anteilige Finanzierungskosten und verbrauchsabhängige Kosten können im Wege der Schätzung ermittelt werden. Abschreibungsbeträge sind zumindest einmal jährlich aufzuzeichnen.</w:t>
      </w:r>
    </w:p>
    <w:p w:rsidR="00F457C9" w:rsidRDefault="00F457C9" w:rsidP="00F457C9">
      <w:pPr>
        <w:spacing w:after="0" w:line="360" w:lineRule="auto"/>
        <w:jc w:val="both"/>
        <w:rPr>
          <w:rFonts w:cs="Arial"/>
          <w:lang w:eastAsia="de-DE"/>
        </w:rPr>
      </w:pPr>
    </w:p>
    <w:p w:rsidR="00F457C9" w:rsidRPr="00377893" w:rsidRDefault="00F457C9" w:rsidP="00F457C9">
      <w:pPr>
        <w:spacing w:after="0" w:line="360" w:lineRule="auto"/>
        <w:jc w:val="both"/>
        <w:rPr>
          <w:rFonts w:ascii="Times New Roman" w:hAnsi="Times New Roman"/>
          <w:sz w:val="24"/>
          <w:szCs w:val="24"/>
          <w:lang w:eastAsia="de-DE"/>
        </w:rPr>
      </w:pPr>
    </w:p>
    <w:p w:rsidR="00F457C9" w:rsidRPr="00CF6856" w:rsidRDefault="00F457C9" w:rsidP="00F457C9">
      <w:pPr>
        <w:spacing w:after="0" w:line="240" w:lineRule="auto"/>
        <w:jc w:val="both"/>
        <w:rPr>
          <w:rFonts w:cs="Arial"/>
          <w:sz w:val="20"/>
          <w:szCs w:val="20"/>
        </w:rPr>
      </w:pPr>
      <w:r w:rsidRPr="00CF6856">
        <w:rPr>
          <w:rFonts w:cs="Arial"/>
          <w:sz w:val="20"/>
          <w:szCs w:val="20"/>
        </w:rPr>
        <w:t>Der Autor ist Mitglied der Deutschen Anwalts- und Steuerberatervereinigung für die mittelständische Wirtschaft e.V.</w:t>
      </w:r>
    </w:p>
    <w:p w:rsidR="00F457C9" w:rsidRPr="00CF6856" w:rsidRDefault="00F457C9" w:rsidP="00F457C9">
      <w:pPr>
        <w:tabs>
          <w:tab w:val="left" w:pos="3285"/>
        </w:tabs>
        <w:spacing w:after="0" w:line="240" w:lineRule="auto"/>
        <w:jc w:val="both"/>
        <w:rPr>
          <w:rFonts w:cs="Arial"/>
          <w:sz w:val="20"/>
          <w:szCs w:val="20"/>
        </w:rPr>
      </w:pPr>
      <w:r>
        <w:rPr>
          <w:rFonts w:cs="Arial"/>
          <w:sz w:val="20"/>
          <w:szCs w:val="20"/>
        </w:rPr>
        <w:tab/>
      </w:r>
    </w:p>
    <w:p w:rsidR="00F457C9" w:rsidRPr="00CF6856" w:rsidRDefault="00F457C9" w:rsidP="00F457C9">
      <w:pPr>
        <w:spacing w:after="0" w:line="240" w:lineRule="auto"/>
        <w:jc w:val="both"/>
        <w:rPr>
          <w:rFonts w:cs="Arial"/>
          <w:sz w:val="20"/>
          <w:szCs w:val="20"/>
        </w:rPr>
      </w:pPr>
    </w:p>
    <w:p w:rsidR="00F457C9" w:rsidRPr="00CF6856" w:rsidRDefault="00F457C9" w:rsidP="00F457C9">
      <w:pPr>
        <w:spacing w:after="0" w:line="240" w:lineRule="auto"/>
        <w:jc w:val="both"/>
        <w:rPr>
          <w:rFonts w:cs="Arial"/>
          <w:sz w:val="20"/>
          <w:szCs w:val="20"/>
        </w:rPr>
      </w:pPr>
      <w:r w:rsidRPr="00CF6856">
        <w:rPr>
          <w:rFonts w:cs="Arial"/>
          <w:sz w:val="20"/>
          <w:szCs w:val="20"/>
        </w:rPr>
        <w:t>Für Rückfragen steht Ihnen der Autor gerne zur Verfügung</w:t>
      </w:r>
    </w:p>
    <w:p w:rsidR="00F457C9" w:rsidRPr="00CF6856" w:rsidRDefault="00F457C9" w:rsidP="00F457C9">
      <w:pPr>
        <w:spacing w:after="0" w:line="240" w:lineRule="auto"/>
        <w:jc w:val="both"/>
        <w:rPr>
          <w:rFonts w:cs="Arial"/>
          <w:sz w:val="20"/>
          <w:szCs w:val="20"/>
        </w:rPr>
      </w:pPr>
    </w:p>
    <w:p w:rsidR="00F457C9" w:rsidRPr="00CF6856" w:rsidRDefault="00F457C9" w:rsidP="00F457C9">
      <w:pPr>
        <w:spacing w:after="0" w:line="240" w:lineRule="auto"/>
        <w:jc w:val="both"/>
        <w:rPr>
          <w:rFonts w:cs="Arial"/>
          <w:sz w:val="20"/>
          <w:szCs w:val="20"/>
        </w:rPr>
      </w:pPr>
      <w:r>
        <w:rPr>
          <w:rFonts w:cs="Arial"/>
          <w:sz w:val="20"/>
          <w:szCs w:val="20"/>
        </w:rPr>
        <w:t>Rechtsanwalt</w:t>
      </w:r>
    </w:p>
    <w:p w:rsidR="00F457C9" w:rsidRPr="00CF6856" w:rsidRDefault="00F457C9" w:rsidP="00F457C9">
      <w:pPr>
        <w:spacing w:after="0" w:line="240" w:lineRule="auto"/>
        <w:jc w:val="both"/>
        <w:rPr>
          <w:rFonts w:cs="Arial"/>
          <w:sz w:val="20"/>
          <w:szCs w:val="20"/>
        </w:rPr>
      </w:pPr>
      <w:r w:rsidRPr="00CF6856">
        <w:rPr>
          <w:rFonts w:cs="Arial"/>
          <w:sz w:val="20"/>
          <w:szCs w:val="20"/>
        </w:rPr>
        <w:t>Arnd Lackner</w:t>
      </w:r>
    </w:p>
    <w:p w:rsidR="00F457C9" w:rsidRDefault="00F457C9" w:rsidP="00F457C9">
      <w:pPr>
        <w:spacing w:after="0" w:line="240" w:lineRule="auto"/>
        <w:jc w:val="both"/>
        <w:rPr>
          <w:rFonts w:cs="Arial"/>
          <w:bCs/>
          <w:sz w:val="20"/>
          <w:szCs w:val="20"/>
        </w:rPr>
      </w:pPr>
      <w:r w:rsidRPr="003C614B">
        <w:rPr>
          <w:rFonts w:cs="Arial"/>
          <w:bCs/>
          <w:sz w:val="20"/>
          <w:szCs w:val="20"/>
        </w:rPr>
        <w:t>Fachanwalt für Ste</w:t>
      </w:r>
      <w:r>
        <w:rPr>
          <w:rFonts w:cs="Arial"/>
          <w:bCs/>
          <w:sz w:val="20"/>
          <w:szCs w:val="20"/>
        </w:rPr>
        <w:t xml:space="preserve">uerrecht </w:t>
      </w:r>
    </w:p>
    <w:p w:rsidR="00F457C9" w:rsidRPr="00CF6856" w:rsidRDefault="00F457C9" w:rsidP="00F457C9">
      <w:pPr>
        <w:spacing w:after="0" w:line="240" w:lineRule="auto"/>
        <w:jc w:val="both"/>
        <w:rPr>
          <w:rFonts w:cs="Arial"/>
          <w:sz w:val="20"/>
          <w:szCs w:val="20"/>
        </w:rPr>
      </w:pPr>
      <w:r w:rsidRPr="003C614B">
        <w:rPr>
          <w:rFonts w:cs="Arial"/>
          <w:bCs/>
          <w:sz w:val="20"/>
          <w:szCs w:val="20"/>
        </w:rPr>
        <w:t>Fachanwalt für Handels- und Gesellschaftsrecht</w:t>
      </w:r>
    </w:p>
    <w:p w:rsidR="00F457C9" w:rsidRPr="00CF6856" w:rsidRDefault="00F457C9" w:rsidP="00F457C9">
      <w:pPr>
        <w:spacing w:after="0" w:line="240" w:lineRule="auto"/>
        <w:jc w:val="both"/>
        <w:rPr>
          <w:rFonts w:cs="Arial"/>
          <w:b/>
          <w:bCs/>
          <w:sz w:val="20"/>
          <w:szCs w:val="20"/>
        </w:rPr>
      </w:pPr>
      <w:r w:rsidRPr="00CF6856">
        <w:rPr>
          <w:rFonts w:cs="Arial"/>
          <w:sz w:val="20"/>
          <w:szCs w:val="20"/>
        </w:rPr>
        <w:t>WAGNER Rechtsanwälte</w:t>
      </w:r>
      <w:r w:rsidRPr="00CF6856">
        <w:rPr>
          <w:rFonts w:cs="Arial"/>
          <w:b/>
          <w:bCs/>
          <w:sz w:val="20"/>
          <w:szCs w:val="20"/>
        </w:rPr>
        <w:t xml:space="preserve"> </w:t>
      </w:r>
    </w:p>
    <w:p w:rsidR="00F457C9" w:rsidRPr="00CF6856" w:rsidRDefault="00F457C9" w:rsidP="00F457C9">
      <w:pPr>
        <w:spacing w:after="0" w:line="240" w:lineRule="auto"/>
        <w:jc w:val="both"/>
        <w:rPr>
          <w:rFonts w:cs="Arial"/>
          <w:sz w:val="20"/>
          <w:szCs w:val="20"/>
        </w:rPr>
      </w:pPr>
      <w:r w:rsidRPr="00CF6856">
        <w:rPr>
          <w:rFonts w:cs="Arial"/>
          <w:sz w:val="20"/>
          <w:szCs w:val="20"/>
        </w:rPr>
        <w:t>Großherzog-Friedrich-Str. 40</w:t>
      </w:r>
    </w:p>
    <w:p w:rsidR="00F457C9" w:rsidRPr="00CF6856" w:rsidRDefault="00F457C9" w:rsidP="00F457C9">
      <w:pPr>
        <w:spacing w:after="0" w:line="240" w:lineRule="auto"/>
        <w:jc w:val="both"/>
        <w:rPr>
          <w:rFonts w:cs="Arial"/>
          <w:sz w:val="20"/>
          <w:szCs w:val="20"/>
        </w:rPr>
      </w:pPr>
      <w:r w:rsidRPr="00CF6856">
        <w:rPr>
          <w:rFonts w:cs="Arial"/>
          <w:sz w:val="20"/>
          <w:szCs w:val="20"/>
        </w:rPr>
        <w:t>66111 Saarbrücken</w:t>
      </w:r>
    </w:p>
    <w:p w:rsidR="00F457C9" w:rsidRPr="00CF6856" w:rsidRDefault="00F457C9" w:rsidP="00F457C9">
      <w:pPr>
        <w:spacing w:after="0" w:line="240" w:lineRule="auto"/>
        <w:jc w:val="both"/>
        <w:rPr>
          <w:rFonts w:cs="Arial"/>
          <w:sz w:val="20"/>
          <w:szCs w:val="20"/>
        </w:rPr>
      </w:pPr>
      <w:r w:rsidRPr="00CF6856">
        <w:rPr>
          <w:rFonts w:cs="Arial"/>
          <w:sz w:val="20"/>
          <w:szCs w:val="20"/>
        </w:rPr>
        <w:t xml:space="preserve"> </w:t>
      </w:r>
    </w:p>
    <w:p w:rsidR="00F457C9" w:rsidRPr="00CF6856" w:rsidRDefault="00F457C9" w:rsidP="00F457C9">
      <w:pPr>
        <w:spacing w:after="0" w:line="240" w:lineRule="auto"/>
        <w:jc w:val="both"/>
        <w:rPr>
          <w:rFonts w:cs="Arial"/>
          <w:sz w:val="20"/>
          <w:szCs w:val="20"/>
        </w:rPr>
      </w:pPr>
      <w:r w:rsidRPr="00CF6856">
        <w:rPr>
          <w:rFonts w:cs="Arial"/>
          <w:sz w:val="20"/>
          <w:szCs w:val="20"/>
        </w:rPr>
        <w:t>Tel.: +49 (0) 681-95 82 82-0</w:t>
      </w:r>
      <w:r w:rsidRPr="00CF6856">
        <w:rPr>
          <w:rFonts w:cs="Arial"/>
          <w:sz w:val="20"/>
          <w:szCs w:val="20"/>
        </w:rPr>
        <w:tab/>
      </w:r>
      <w:r w:rsidRPr="00CF6856">
        <w:rPr>
          <w:rFonts w:cs="Arial"/>
          <w:sz w:val="20"/>
          <w:szCs w:val="20"/>
        </w:rPr>
        <w:tab/>
        <w:t>Fax: +49 (0) 681-95 82 82-10</w:t>
      </w:r>
    </w:p>
    <w:p w:rsidR="00F457C9" w:rsidRPr="00CF6856" w:rsidRDefault="00F457C9" w:rsidP="00F457C9">
      <w:pPr>
        <w:spacing w:after="0" w:line="240" w:lineRule="auto"/>
        <w:jc w:val="both"/>
        <w:rPr>
          <w:rFonts w:cs="Arial"/>
          <w:sz w:val="20"/>
          <w:szCs w:val="20"/>
        </w:rPr>
      </w:pPr>
      <w:r w:rsidRPr="00CF6856">
        <w:rPr>
          <w:rFonts w:cs="Arial"/>
          <w:sz w:val="20"/>
          <w:szCs w:val="20"/>
          <w:lang w:val="it-IT"/>
        </w:rPr>
        <w:t xml:space="preserve">E-Mail: </w:t>
      </w:r>
      <w:hyperlink r:id="rId10" w:tooltip="Öffnet ein Fenster zum E-Mail-Senden" w:history="1">
        <w:r w:rsidRPr="00CF6856">
          <w:rPr>
            <w:rStyle w:val="Hyperlink"/>
            <w:rFonts w:cs="Arial"/>
            <w:sz w:val="20"/>
            <w:szCs w:val="20"/>
            <w:lang w:val="it-IT"/>
          </w:rPr>
          <w:t>wagner@webvocat.de</w:t>
        </w:r>
      </w:hyperlink>
      <w:r w:rsidRPr="00CF6856">
        <w:rPr>
          <w:rFonts w:cs="Arial"/>
          <w:sz w:val="20"/>
          <w:szCs w:val="20"/>
          <w:lang w:val="it-IT"/>
        </w:rPr>
        <w:tab/>
      </w:r>
      <w:r w:rsidRPr="00CF6856">
        <w:rPr>
          <w:rFonts w:cs="Arial"/>
          <w:sz w:val="20"/>
          <w:szCs w:val="20"/>
          <w:lang w:val="it-IT"/>
        </w:rPr>
        <w:tab/>
      </w:r>
      <w:hyperlink r:id="rId11" w:history="1">
        <w:r w:rsidRPr="00CF6856">
          <w:rPr>
            <w:rStyle w:val="Hyperlink"/>
            <w:rFonts w:cs="Arial"/>
            <w:sz w:val="20"/>
            <w:szCs w:val="20"/>
            <w:lang w:val="it-IT"/>
          </w:rPr>
          <w:t>www.webvocat.de</w:t>
        </w:r>
      </w:hyperlink>
    </w:p>
    <w:p w:rsidR="00D32887" w:rsidRPr="00F457C9" w:rsidRDefault="00D32887">
      <w:pPr>
        <w:rPr>
          <w:sz w:val="20"/>
          <w:szCs w:val="20"/>
        </w:rPr>
      </w:pPr>
    </w:p>
    <w:sectPr w:rsidR="00D32887" w:rsidRPr="00F457C9">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631" w:rsidRDefault="005A1631" w:rsidP="00F457C9">
      <w:pPr>
        <w:spacing w:after="0" w:line="240" w:lineRule="auto"/>
      </w:pPr>
      <w:r>
        <w:separator/>
      </w:r>
    </w:p>
  </w:endnote>
  <w:endnote w:type="continuationSeparator" w:id="0">
    <w:p w:rsidR="005A1631" w:rsidRDefault="005A1631" w:rsidP="00F4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631" w:rsidRDefault="005A1631" w:rsidP="00F457C9">
      <w:pPr>
        <w:spacing w:after="0" w:line="240" w:lineRule="auto"/>
      </w:pPr>
      <w:r>
        <w:separator/>
      </w:r>
    </w:p>
  </w:footnote>
  <w:footnote w:type="continuationSeparator" w:id="0">
    <w:p w:rsidR="005A1631" w:rsidRDefault="005A1631" w:rsidP="00F45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7C9" w:rsidRPr="00852CC4" w:rsidRDefault="00F457C9" w:rsidP="00F457C9">
    <w:pPr>
      <w:tabs>
        <w:tab w:val="center" w:pos="4819"/>
        <w:tab w:val="right" w:pos="9071"/>
      </w:tabs>
      <w:jc w:val="center"/>
      <w:rPr>
        <w:rFonts w:cs="Arial"/>
        <w:szCs w:val="20"/>
        <w:lang w:eastAsia="de-DE"/>
      </w:rPr>
    </w:pPr>
    <w:r w:rsidRPr="00852CC4">
      <w:rPr>
        <w:rFonts w:cs="Arial"/>
        <w:b/>
        <w:bCs/>
        <w:sz w:val="28"/>
        <w:szCs w:val="28"/>
        <w:lang w:eastAsia="de-DE"/>
      </w:rPr>
      <w:t>mittelstandsdepesche 1</w:t>
    </w:r>
    <w:r>
      <w:rPr>
        <w:rFonts w:cs="Arial"/>
        <w:b/>
        <w:bCs/>
        <w:sz w:val="28"/>
        <w:szCs w:val="28"/>
        <w:lang w:eastAsia="de-DE"/>
      </w:rPr>
      <w:t>1</w:t>
    </w:r>
    <w:r w:rsidRPr="00852CC4">
      <w:rPr>
        <w:rFonts w:cs="Arial"/>
        <w:b/>
        <w:bCs/>
        <w:sz w:val="28"/>
        <w:szCs w:val="28"/>
        <w:lang w:eastAsia="de-DE"/>
      </w:rPr>
      <w:t>-2017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936D74"/>
    <w:multiLevelType w:val="multilevel"/>
    <w:tmpl w:val="843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93"/>
    <w:rsid w:val="00377893"/>
    <w:rsid w:val="003B2B25"/>
    <w:rsid w:val="003C614B"/>
    <w:rsid w:val="00532583"/>
    <w:rsid w:val="005A1631"/>
    <w:rsid w:val="00852CC4"/>
    <w:rsid w:val="00B94A82"/>
    <w:rsid w:val="00CF6856"/>
    <w:rsid w:val="00D32887"/>
    <w:rsid w:val="00EB58E9"/>
    <w:rsid w:val="00EC6D5D"/>
    <w:rsid w:val="00F457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748603-7B9E-4932-B827-2337F324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1">
    <w:name w:val="heading 1"/>
    <w:basedOn w:val="Standard"/>
    <w:link w:val="berschrift1Zchn"/>
    <w:uiPriority w:val="9"/>
    <w:qFormat/>
    <w:rsid w:val="00377893"/>
    <w:pPr>
      <w:spacing w:before="100" w:beforeAutospacing="1" w:after="100" w:afterAutospacing="1" w:line="240" w:lineRule="auto"/>
      <w:outlineLvl w:val="0"/>
    </w:pPr>
    <w:rPr>
      <w:rFonts w:ascii="Times New Roman" w:hAnsi="Times New Roman"/>
      <w:b/>
      <w:bCs/>
      <w:kern w:val="36"/>
      <w:sz w:val="48"/>
      <w:szCs w:val="48"/>
      <w:lang w:eastAsia="de-DE"/>
    </w:rPr>
  </w:style>
  <w:style w:type="paragraph" w:styleId="berschrift2">
    <w:name w:val="heading 2"/>
    <w:basedOn w:val="Standard"/>
    <w:link w:val="berschrift2Zchn"/>
    <w:uiPriority w:val="9"/>
    <w:qFormat/>
    <w:rsid w:val="00377893"/>
    <w:pPr>
      <w:spacing w:before="100" w:beforeAutospacing="1" w:after="100" w:afterAutospacing="1" w:line="240" w:lineRule="auto"/>
      <w:outlineLvl w:val="1"/>
    </w:pPr>
    <w:rPr>
      <w:rFonts w:ascii="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377893"/>
    <w:rPr>
      <w:rFonts w:ascii="Times New Roman" w:hAnsi="Times New Roman" w:cs="Times New Roman"/>
      <w:b/>
      <w:bCs/>
      <w:kern w:val="36"/>
      <w:sz w:val="48"/>
      <w:szCs w:val="48"/>
      <w:lang w:val="x-none" w:eastAsia="de-DE"/>
    </w:rPr>
  </w:style>
  <w:style w:type="character" w:customStyle="1" w:styleId="berschrift2Zchn">
    <w:name w:val="Überschrift 2 Zchn"/>
    <w:basedOn w:val="Absatz-Standardschriftart"/>
    <w:link w:val="berschrift2"/>
    <w:uiPriority w:val="9"/>
    <w:locked/>
    <w:rsid w:val="00377893"/>
    <w:rPr>
      <w:rFonts w:ascii="Times New Roman" w:hAnsi="Times New Roman" w:cs="Times New Roman"/>
      <w:b/>
      <w:bCs/>
      <w:sz w:val="36"/>
      <w:szCs w:val="36"/>
      <w:lang w:val="x-none" w:eastAsia="de-DE"/>
    </w:rPr>
  </w:style>
  <w:style w:type="character" w:customStyle="1" w:styleId="news-single-date">
    <w:name w:val="news-single-date"/>
    <w:basedOn w:val="Absatz-Standardschriftart"/>
    <w:rsid w:val="00377893"/>
    <w:rPr>
      <w:rFonts w:cs="Times New Roman"/>
    </w:rPr>
  </w:style>
  <w:style w:type="paragraph" w:customStyle="1" w:styleId="align-justify">
    <w:name w:val="align-justify"/>
    <w:basedOn w:val="Standard"/>
    <w:rsid w:val="00377893"/>
    <w:pPr>
      <w:spacing w:before="100" w:beforeAutospacing="1" w:after="100" w:afterAutospacing="1" w:line="240" w:lineRule="auto"/>
    </w:pPr>
    <w:rPr>
      <w:rFonts w:ascii="Times New Roman" w:hAnsi="Times New Roman"/>
      <w:sz w:val="24"/>
      <w:szCs w:val="24"/>
      <w:lang w:eastAsia="de-DE"/>
    </w:rPr>
  </w:style>
  <w:style w:type="character" w:styleId="Hyperlink">
    <w:name w:val="Hyperlink"/>
    <w:basedOn w:val="Absatz-Standardschriftart"/>
    <w:uiPriority w:val="99"/>
    <w:semiHidden/>
    <w:unhideWhenUsed/>
    <w:rsid w:val="00377893"/>
    <w:rPr>
      <w:rFonts w:cs="Times New Roman"/>
      <w:color w:val="0000FF"/>
      <w:u w:val="single"/>
    </w:rPr>
  </w:style>
  <w:style w:type="paragraph" w:styleId="Kopfzeile">
    <w:name w:val="header"/>
    <w:basedOn w:val="Standard"/>
    <w:link w:val="KopfzeileZchn"/>
    <w:uiPriority w:val="99"/>
    <w:unhideWhenUsed/>
    <w:rsid w:val="00F457C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F457C9"/>
    <w:rPr>
      <w:rFonts w:cs="Times New Roman"/>
    </w:rPr>
  </w:style>
  <w:style w:type="paragraph" w:styleId="Fuzeile">
    <w:name w:val="footer"/>
    <w:basedOn w:val="Standard"/>
    <w:link w:val="FuzeileZchn"/>
    <w:uiPriority w:val="99"/>
    <w:unhideWhenUsed/>
    <w:rsid w:val="00F457C9"/>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F457C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24768">
      <w:marLeft w:val="0"/>
      <w:marRight w:val="0"/>
      <w:marTop w:val="0"/>
      <w:marBottom w:val="0"/>
      <w:divBdr>
        <w:top w:val="none" w:sz="0" w:space="0" w:color="auto"/>
        <w:left w:val="none" w:sz="0" w:space="0" w:color="auto"/>
        <w:bottom w:val="none" w:sz="0" w:space="0" w:color="auto"/>
        <w:right w:val="none" w:sz="0" w:space="0" w:color="auto"/>
      </w:divBdr>
      <w:divsChild>
        <w:div w:id="571624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jure.org/dienste/vernetzung/rechtsprechung?Text=VI%20R%2086/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ejure.org/dienste/vernetzung/rechtsprechung?Text=VI%20R%2053/1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bvocat.de/" TargetMode="External"/><Relationship Id="rId5" Type="http://schemas.openxmlformats.org/officeDocument/2006/relationships/footnotes" Target="footnotes.xml"/><Relationship Id="rId10" Type="http://schemas.openxmlformats.org/officeDocument/2006/relationships/hyperlink" Target="mailto:wagner@webvocat.de" TargetMode="External"/><Relationship Id="rId4" Type="http://schemas.openxmlformats.org/officeDocument/2006/relationships/webSettings" Target="webSettings.xml"/><Relationship Id="rId9" Type="http://schemas.openxmlformats.org/officeDocument/2006/relationships/hyperlink" Target="http://www.bundesfinanzministerium.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23633457.dotm</Template>
  <TotalTime>0</TotalTime>
  <Pages>2</Pages>
  <Words>560</Words>
  <Characters>3533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2017-12-04T08:59:00Z</dcterms:created>
  <dcterms:modified xsi:type="dcterms:W3CDTF">2017-12-04T08:59:00Z</dcterms:modified>
</cp:coreProperties>
</file>