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08" w:rsidRPr="00D46A08" w:rsidRDefault="00D46A08" w:rsidP="00D46A08">
      <w:pPr>
        <w:tabs>
          <w:tab w:val="center" w:pos="4536"/>
          <w:tab w:val="right" w:pos="9072"/>
        </w:tabs>
        <w:jc w:val="right"/>
        <w:rPr>
          <w:rFonts w:ascii="Arial" w:hAnsi="Arial"/>
          <w:sz w:val="22"/>
          <w:szCs w:val="22"/>
          <w:lang w:eastAsia="en-US"/>
        </w:rPr>
      </w:pPr>
      <w:bookmarkStart w:id="0" w:name="2"/>
      <w:bookmarkStart w:id="1" w:name="9"/>
      <w:bookmarkStart w:id="2" w:name="_GoBack"/>
      <w:bookmarkEnd w:id="0"/>
      <w:bookmarkEnd w:id="1"/>
      <w:bookmarkEnd w:id="2"/>
      <w:r w:rsidRPr="00D46A08">
        <w:rPr>
          <w:rFonts w:ascii="Arial" w:hAnsi="Arial" w:cs="Arial"/>
          <w:b/>
          <w:bCs/>
          <w:sz w:val="40"/>
          <w:szCs w:val="40"/>
          <w:lang w:eastAsia="en-US"/>
        </w:rPr>
        <w:t>DASV</w:t>
      </w:r>
    </w:p>
    <w:p w:rsidR="00D46A08" w:rsidRPr="00D46A08" w:rsidRDefault="00D46A08" w:rsidP="00D46A08">
      <w:pPr>
        <w:jc w:val="right"/>
        <w:rPr>
          <w:rFonts w:ascii="Arial" w:hAnsi="Arial" w:cs="Arial"/>
          <w:sz w:val="20"/>
          <w:szCs w:val="20"/>
          <w:lang w:eastAsia="en-US"/>
        </w:rPr>
      </w:pPr>
      <w:r w:rsidRPr="00D46A08">
        <w:rPr>
          <w:rFonts w:ascii="Arial" w:hAnsi="Arial" w:cs="Arial"/>
          <w:sz w:val="20"/>
          <w:szCs w:val="20"/>
          <w:lang w:eastAsia="en-US"/>
        </w:rPr>
        <w:t>Deutsche Anwalts- und</w:t>
      </w:r>
    </w:p>
    <w:p w:rsidR="00D46A08" w:rsidRPr="00D46A08" w:rsidRDefault="00D46A08" w:rsidP="00D46A08">
      <w:pPr>
        <w:jc w:val="right"/>
        <w:rPr>
          <w:rFonts w:ascii="Arial" w:hAnsi="Arial" w:cs="Arial"/>
          <w:sz w:val="20"/>
          <w:szCs w:val="20"/>
          <w:lang w:eastAsia="en-US"/>
        </w:rPr>
      </w:pPr>
      <w:r w:rsidRPr="00D46A08">
        <w:rPr>
          <w:rFonts w:ascii="Arial" w:hAnsi="Arial" w:cs="Arial"/>
          <w:sz w:val="20"/>
          <w:szCs w:val="20"/>
          <w:lang w:eastAsia="en-US"/>
        </w:rPr>
        <w:t>Steuerberatervereinigung</w:t>
      </w:r>
    </w:p>
    <w:p w:rsidR="00D46A08" w:rsidRPr="00D46A08" w:rsidRDefault="00D46A08" w:rsidP="00D46A08">
      <w:pPr>
        <w:jc w:val="right"/>
        <w:rPr>
          <w:rFonts w:ascii="Arial" w:hAnsi="Arial" w:cs="Arial"/>
          <w:sz w:val="20"/>
          <w:szCs w:val="20"/>
          <w:lang w:eastAsia="en-US"/>
        </w:rPr>
      </w:pPr>
      <w:r w:rsidRPr="00D46A08">
        <w:rPr>
          <w:rFonts w:ascii="Arial" w:hAnsi="Arial" w:cs="Arial"/>
          <w:sz w:val="20"/>
          <w:szCs w:val="20"/>
          <w:lang w:eastAsia="en-US"/>
        </w:rPr>
        <w:t>für die mittelständische</w:t>
      </w:r>
    </w:p>
    <w:p w:rsidR="00D46A08" w:rsidRPr="00D46A08" w:rsidRDefault="00D46A08" w:rsidP="00D46A08">
      <w:pPr>
        <w:jc w:val="right"/>
        <w:rPr>
          <w:rFonts w:ascii="Arial" w:hAnsi="Arial" w:cs="Arial"/>
          <w:sz w:val="22"/>
          <w:szCs w:val="22"/>
          <w:lang w:eastAsia="en-US"/>
        </w:rPr>
      </w:pPr>
      <w:r w:rsidRPr="00D46A08">
        <w:rPr>
          <w:rFonts w:ascii="Arial" w:hAnsi="Arial" w:cs="Arial"/>
          <w:sz w:val="20"/>
          <w:szCs w:val="20"/>
          <w:lang w:eastAsia="en-US"/>
        </w:rPr>
        <w:t>Wirtschaft e. V.</w:t>
      </w:r>
    </w:p>
    <w:p w:rsidR="00D46A08" w:rsidRPr="00D46A08" w:rsidRDefault="00D46A08" w:rsidP="00D46A08">
      <w:pPr>
        <w:jc w:val="center"/>
        <w:rPr>
          <w:rFonts w:ascii="Arial" w:hAnsi="Arial" w:cs="Arial"/>
          <w:b/>
          <w:bCs/>
          <w:sz w:val="20"/>
          <w:szCs w:val="20"/>
        </w:rPr>
      </w:pPr>
      <w:r w:rsidRPr="00D46A08">
        <w:rPr>
          <w:rFonts w:ascii="Arial" w:hAnsi="Arial" w:cs="Arial"/>
          <w:b/>
          <w:bCs/>
          <w:sz w:val="20"/>
          <w:szCs w:val="20"/>
        </w:rPr>
        <w:t>10 Urteile, die Ihre Leser interessieren könnten</w:t>
      </w:r>
    </w:p>
    <w:p w:rsidR="00D46A08" w:rsidRPr="00D46A08" w:rsidRDefault="00D46A08" w:rsidP="00D46A08">
      <w:pPr>
        <w:jc w:val="center"/>
        <w:rPr>
          <w:rFonts w:ascii="Arial" w:hAnsi="Arial" w:cs="Arial"/>
          <w:b/>
          <w:bCs/>
          <w:sz w:val="20"/>
          <w:szCs w:val="20"/>
        </w:rPr>
      </w:pPr>
    </w:p>
    <w:p w:rsidR="00D46A08" w:rsidRPr="00D46A08" w:rsidRDefault="00D46A08" w:rsidP="00D46A08">
      <w:pPr>
        <w:jc w:val="center"/>
        <w:rPr>
          <w:rFonts w:ascii="Arial" w:hAnsi="Arial" w:cs="Arial"/>
          <w:sz w:val="20"/>
          <w:szCs w:val="20"/>
        </w:rPr>
      </w:pPr>
      <w:r w:rsidRPr="00D46A08">
        <w:rPr>
          <w:rFonts w:ascii="Arial" w:hAnsi="Arial" w:cs="Arial"/>
          <w:sz w:val="20"/>
          <w:szCs w:val="20"/>
        </w:rPr>
        <w:t>zusammengestellt von Rechtsanwalt/Fachanwalt für Arbeitsrecht u. Fachanwalt für Erbrecht</w:t>
      </w:r>
    </w:p>
    <w:p w:rsidR="00D46A08" w:rsidRPr="00D46A08" w:rsidRDefault="00D46A08" w:rsidP="00D46A08">
      <w:pPr>
        <w:spacing w:before="60" w:after="15" w:line="259" w:lineRule="auto"/>
        <w:ind w:right="540"/>
        <w:jc w:val="center"/>
        <w:rPr>
          <w:rFonts w:ascii="Arial" w:hAnsi="Arial" w:cs="Arial"/>
          <w:bCs/>
          <w:sz w:val="20"/>
          <w:szCs w:val="20"/>
          <w:lang w:eastAsia="en-US"/>
        </w:rPr>
      </w:pPr>
      <w:r w:rsidRPr="00D46A08">
        <w:rPr>
          <w:rFonts w:ascii="Arial" w:hAnsi="Arial" w:cs="Arial"/>
          <w:bCs/>
          <w:sz w:val="20"/>
          <w:szCs w:val="20"/>
          <w:lang w:eastAsia="en-US"/>
        </w:rPr>
        <w:t>Michael Henn, Stuttgart</w:t>
      </w:r>
    </w:p>
    <w:p w:rsidR="00B736AD" w:rsidRPr="00D46A08" w:rsidRDefault="00B736AD" w:rsidP="00D46A08">
      <w:pPr>
        <w:rPr>
          <w:rFonts w:ascii="Arial" w:hAnsi="Arial" w:cs="Arial"/>
          <w:sz w:val="20"/>
          <w:szCs w:val="20"/>
        </w:rPr>
      </w:pPr>
    </w:p>
    <w:p w:rsidR="00D46A08" w:rsidRPr="00C603C8" w:rsidRDefault="00D46A08" w:rsidP="00D46A08">
      <w:pPr>
        <w:jc w:val="center"/>
        <w:rPr>
          <w:rFonts w:ascii="Arial" w:hAnsi="Arial" w:cs="Arial"/>
          <w:b/>
          <w:sz w:val="20"/>
          <w:szCs w:val="20"/>
        </w:rPr>
      </w:pPr>
      <w:r w:rsidRPr="00C603C8">
        <w:rPr>
          <w:rFonts w:ascii="Arial" w:hAnsi="Arial" w:cs="Arial"/>
          <w:b/>
          <w:sz w:val="20"/>
          <w:szCs w:val="20"/>
        </w:rPr>
        <w:t>I.</w:t>
      </w:r>
    </w:p>
    <w:p w:rsidR="00B736AD" w:rsidRPr="00D46A08" w:rsidRDefault="00B736AD" w:rsidP="00D46A08">
      <w:pPr>
        <w:pStyle w:val="berschrift3"/>
        <w:spacing w:after="0" w:line="240" w:lineRule="auto"/>
        <w:jc w:val="center"/>
        <w:rPr>
          <w:rFonts w:ascii="Arial" w:hAnsi="Arial" w:cs="Arial"/>
          <w:sz w:val="20"/>
          <w:szCs w:val="20"/>
        </w:rPr>
      </w:pPr>
      <w:r w:rsidRPr="00D46A08">
        <w:rPr>
          <w:rFonts w:ascii="Arial" w:hAnsi="Arial" w:cs="Arial"/>
          <w:sz w:val="20"/>
          <w:szCs w:val="20"/>
        </w:rPr>
        <w:t>Schriftformheilungsklausel im Mietvertrag</w:t>
      </w:r>
    </w:p>
    <w:p w:rsidR="00B736AD" w:rsidRPr="00D46A08" w:rsidRDefault="00D46A08" w:rsidP="00D46A08">
      <w:pPr>
        <w:pStyle w:val="berschrift4"/>
        <w:spacing w:after="0"/>
        <w:jc w:val="center"/>
        <w:rPr>
          <w:rFonts w:ascii="Arial" w:hAnsi="Arial" w:cs="Arial"/>
          <w:color w:val="auto"/>
          <w:sz w:val="20"/>
          <w:szCs w:val="20"/>
        </w:rPr>
      </w:pPr>
      <w:r w:rsidRPr="00D46A08">
        <w:rPr>
          <w:rFonts w:ascii="Arial" w:hAnsi="Arial" w:cs="Arial"/>
          <w:color w:val="auto"/>
          <w:sz w:val="20"/>
          <w:szCs w:val="20"/>
        </w:rPr>
        <w:t xml:space="preserve">BGH, </w:t>
      </w:r>
      <w:r w:rsidR="00B736AD" w:rsidRPr="00D46A08">
        <w:rPr>
          <w:rFonts w:ascii="Arial" w:hAnsi="Arial" w:cs="Arial"/>
          <w:color w:val="auto"/>
          <w:sz w:val="20"/>
          <w:szCs w:val="20"/>
        </w:rPr>
        <w:t>Urteil vom 27.09.2017, Az</w:t>
      </w:r>
      <w:r>
        <w:rPr>
          <w:rFonts w:ascii="Arial" w:hAnsi="Arial" w:cs="Arial"/>
          <w:color w:val="auto"/>
          <w:sz w:val="20"/>
          <w:szCs w:val="20"/>
        </w:rPr>
        <w:t xml:space="preserve">. </w:t>
      </w:r>
      <w:r w:rsidR="00B736AD" w:rsidRPr="00D46A08">
        <w:rPr>
          <w:rFonts w:ascii="Arial" w:hAnsi="Arial" w:cs="Arial"/>
          <w:color w:val="auto"/>
          <w:sz w:val="20"/>
          <w:szCs w:val="20"/>
        </w:rPr>
        <w:t>XII ZR 114/16</w:t>
      </w:r>
    </w:p>
    <w:p w:rsidR="00D46A08" w:rsidRDefault="00D46A08" w:rsidP="00D46A08">
      <w:pPr>
        <w:rPr>
          <w:rFonts w:ascii="Arial" w:hAnsi="Arial" w:cs="Arial"/>
          <w:sz w:val="20"/>
          <w:szCs w:val="20"/>
        </w:rPr>
      </w:pPr>
    </w:p>
    <w:p w:rsidR="00B736AD" w:rsidRPr="00D46A08" w:rsidRDefault="00B736AD" w:rsidP="00D46A08">
      <w:pPr>
        <w:rPr>
          <w:rFonts w:ascii="Arial" w:hAnsi="Arial" w:cs="Arial"/>
          <w:sz w:val="20"/>
          <w:szCs w:val="20"/>
        </w:rPr>
      </w:pPr>
      <w:r w:rsidRPr="00D46A08">
        <w:rPr>
          <w:rFonts w:ascii="Arial" w:hAnsi="Arial" w:cs="Arial"/>
          <w:sz w:val="20"/>
          <w:szCs w:val="20"/>
        </w:rPr>
        <w:t>BGB §§ 242 Ca, 550 Satz 1</w:t>
      </w:r>
    </w:p>
    <w:p w:rsidR="00D46A08" w:rsidRDefault="00B736AD" w:rsidP="00D46A08">
      <w:pPr>
        <w:jc w:val="both"/>
        <w:rPr>
          <w:rFonts w:ascii="Arial" w:hAnsi="Arial" w:cs="Arial"/>
          <w:sz w:val="20"/>
          <w:szCs w:val="20"/>
        </w:rPr>
      </w:pPr>
      <w:r w:rsidRPr="00D46A08">
        <w:rPr>
          <w:rFonts w:ascii="Arial" w:hAnsi="Arial" w:cs="Arial"/>
          <w:sz w:val="20"/>
          <w:szCs w:val="20"/>
        </w:rPr>
        <w:t>a) Sogenannte Schriftformheilungsklauseln sind mit der nicht abdingbaren Vorschrift des § 550 BGB unvereinbar und daher unwirksam. Sie können deshalb für sich genommen eine Vertragspartei nicht daran hindern, einen Mietvertrag unter Berufung auf einen Schriftformmangel ordentlich zu kündigen (Fortführung der Senatsurteile BGHZ 200, 98 = NJW 2014, 1087 und vom 30. April 2014 - XII ZR 146/12 - NJW 2014, 2102).</w:t>
      </w:r>
    </w:p>
    <w:p w:rsidR="00B736AD" w:rsidRPr="00D46A08" w:rsidRDefault="00B736AD" w:rsidP="00D46A08">
      <w:pPr>
        <w:jc w:val="both"/>
        <w:rPr>
          <w:rFonts w:ascii="Arial" w:hAnsi="Arial" w:cs="Arial"/>
          <w:sz w:val="20"/>
          <w:szCs w:val="20"/>
        </w:rPr>
      </w:pPr>
      <w:r w:rsidRPr="00D46A08">
        <w:rPr>
          <w:rFonts w:ascii="Arial" w:hAnsi="Arial" w:cs="Arial"/>
          <w:sz w:val="20"/>
          <w:szCs w:val="20"/>
        </w:rPr>
        <w:t>b) Es verstößt gegen Treu und Glauben, wenn eine Mietvertragspartei eine nachträglich getroffene Abrede, die lediglich ihr vorteilhaft ist, allein deshalb, weil sie nicht die schriftliche Form wahrt, zum Anlass nimmt, sich von einem ihr inzwischen lästig gewordenen langfristigen Mietvertrag zu lösen (im Anschluss an Senatsurteile vom 25. November 2015 - XII ZR 114/14 - NJW 2016, 311 und vom 19. September 2007 - XII ZR 198/05 - NJW 2008, 365).</w:t>
      </w:r>
    </w:p>
    <w:p w:rsidR="00B736AD" w:rsidRPr="00D46A08" w:rsidRDefault="00B736AD" w:rsidP="00D46A08">
      <w:pPr>
        <w:rPr>
          <w:rFonts w:ascii="Arial" w:hAnsi="Arial" w:cs="Arial"/>
          <w:sz w:val="20"/>
          <w:szCs w:val="20"/>
        </w:rPr>
      </w:pPr>
    </w:p>
    <w:p w:rsidR="00B736AD" w:rsidRPr="00D46A08" w:rsidRDefault="00D46A08" w:rsidP="00D46A08">
      <w:pPr>
        <w:jc w:val="center"/>
        <w:rPr>
          <w:rFonts w:ascii="Arial" w:hAnsi="Arial" w:cs="Arial"/>
          <w:b/>
          <w:sz w:val="20"/>
          <w:szCs w:val="20"/>
        </w:rPr>
      </w:pPr>
      <w:r w:rsidRPr="00D46A08">
        <w:rPr>
          <w:rFonts w:ascii="Arial" w:hAnsi="Arial" w:cs="Arial"/>
          <w:b/>
          <w:sz w:val="20"/>
          <w:szCs w:val="20"/>
        </w:rPr>
        <w:t>II.</w:t>
      </w:r>
    </w:p>
    <w:p w:rsidR="00B736AD" w:rsidRPr="00D46A08" w:rsidRDefault="00B736AD" w:rsidP="00D46A08">
      <w:pPr>
        <w:pStyle w:val="berschrift3"/>
        <w:spacing w:after="0" w:line="240" w:lineRule="auto"/>
        <w:jc w:val="center"/>
        <w:rPr>
          <w:rFonts w:ascii="Arial" w:hAnsi="Arial" w:cs="Arial"/>
          <w:sz w:val="20"/>
          <w:szCs w:val="20"/>
        </w:rPr>
      </w:pPr>
      <w:r w:rsidRPr="00D46A08">
        <w:rPr>
          <w:rFonts w:ascii="Arial" w:hAnsi="Arial" w:cs="Arial"/>
          <w:sz w:val="20"/>
          <w:szCs w:val="20"/>
        </w:rPr>
        <w:t>Weisungsrecht des Absenders</w:t>
      </w:r>
    </w:p>
    <w:p w:rsidR="00B736AD" w:rsidRDefault="00D46A08" w:rsidP="00D46A08">
      <w:pPr>
        <w:pStyle w:val="berschrift4"/>
        <w:spacing w:after="0"/>
        <w:jc w:val="center"/>
        <w:rPr>
          <w:rFonts w:ascii="Arial" w:hAnsi="Arial" w:cs="Arial"/>
          <w:color w:val="auto"/>
          <w:sz w:val="20"/>
          <w:szCs w:val="20"/>
        </w:rPr>
      </w:pPr>
      <w:r w:rsidRPr="00D46A08">
        <w:rPr>
          <w:rFonts w:ascii="Arial" w:hAnsi="Arial" w:cs="Arial"/>
          <w:color w:val="auto"/>
          <w:sz w:val="20"/>
          <w:szCs w:val="20"/>
        </w:rPr>
        <w:t xml:space="preserve">BGH, </w:t>
      </w:r>
      <w:r w:rsidR="00B736AD" w:rsidRPr="00D46A08">
        <w:rPr>
          <w:rFonts w:ascii="Arial" w:hAnsi="Arial" w:cs="Arial"/>
          <w:color w:val="auto"/>
          <w:sz w:val="20"/>
          <w:szCs w:val="20"/>
        </w:rPr>
        <w:t>Vers</w:t>
      </w:r>
      <w:r w:rsidRPr="00D46A08">
        <w:rPr>
          <w:rFonts w:ascii="Arial" w:hAnsi="Arial" w:cs="Arial"/>
          <w:color w:val="auto"/>
          <w:sz w:val="20"/>
          <w:szCs w:val="20"/>
        </w:rPr>
        <w:t>ä</w:t>
      </w:r>
      <w:r w:rsidR="00B736AD" w:rsidRPr="00D46A08">
        <w:rPr>
          <w:rFonts w:ascii="Arial" w:hAnsi="Arial" w:cs="Arial"/>
          <w:color w:val="auto"/>
          <w:sz w:val="20"/>
          <w:szCs w:val="20"/>
        </w:rPr>
        <w:t>umnisurteil vom 21.09.2017, Az</w:t>
      </w:r>
      <w:r w:rsidRPr="00D46A08">
        <w:rPr>
          <w:rFonts w:ascii="Arial" w:hAnsi="Arial" w:cs="Arial"/>
          <w:color w:val="auto"/>
          <w:sz w:val="20"/>
          <w:szCs w:val="20"/>
        </w:rPr>
        <w:t>.</w:t>
      </w:r>
      <w:r w:rsidR="00B736AD" w:rsidRPr="00D46A08">
        <w:rPr>
          <w:rFonts w:ascii="Arial" w:hAnsi="Arial" w:cs="Arial"/>
          <w:color w:val="auto"/>
          <w:sz w:val="20"/>
          <w:szCs w:val="20"/>
        </w:rPr>
        <w:t xml:space="preserve"> I ZR 47/16</w:t>
      </w:r>
    </w:p>
    <w:p w:rsidR="00D46A08" w:rsidRPr="00D46A08" w:rsidRDefault="00D46A08" w:rsidP="00D46A08">
      <w:pPr>
        <w:pStyle w:val="berschrift4"/>
        <w:spacing w:after="0"/>
        <w:jc w:val="center"/>
        <w:rPr>
          <w:rFonts w:ascii="Arial" w:hAnsi="Arial" w:cs="Arial"/>
          <w:color w:val="auto"/>
          <w:sz w:val="20"/>
          <w:szCs w:val="20"/>
        </w:rPr>
      </w:pPr>
    </w:p>
    <w:p w:rsidR="00B736AD" w:rsidRPr="00D46A08" w:rsidRDefault="00B736AD" w:rsidP="00D46A08">
      <w:pPr>
        <w:rPr>
          <w:rFonts w:ascii="Arial" w:hAnsi="Arial" w:cs="Arial"/>
          <w:sz w:val="20"/>
          <w:szCs w:val="20"/>
        </w:rPr>
      </w:pPr>
      <w:r w:rsidRPr="00D46A08">
        <w:rPr>
          <w:rFonts w:ascii="Arial" w:hAnsi="Arial" w:cs="Arial"/>
          <w:sz w:val="20"/>
          <w:szCs w:val="20"/>
        </w:rPr>
        <w:t>CMR Art. 12, Art. 32 Abs. 1 und 3 Buchst. aBGB § 280</w:t>
      </w:r>
    </w:p>
    <w:p w:rsidR="00D46A08" w:rsidRPr="00D46A08" w:rsidRDefault="00B736AD" w:rsidP="00D46A08">
      <w:pPr>
        <w:jc w:val="both"/>
        <w:rPr>
          <w:rFonts w:ascii="Arial" w:hAnsi="Arial" w:cs="Arial"/>
          <w:sz w:val="20"/>
          <w:szCs w:val="20"/>
        </w:rPr>
      </w:pPr>
      <w:r w:rsidRPr="00D46A08">
        <w:rPr>
          <w:rFonts w:ascii="Arial" w:hAnsi="Arial" w:cs="Arial"/>
          <w:sz w:val="20"/>
          <w:szCs w:val="20"/>
        </w:rPr>
        <w:t>Eine Weisung im Sinne des Art. 12 CMR darf als einseitiges Recht zur Änderung des Beförderungsvertrags weder dessen Kern ändern noch dessen Natur betreffen.</w:t>
      </w:r>
    </w:p>
    <w:p w:rsidR="00D46A08" w:rsidRDefault="00B736AD" w:rsidP="00D46A08">
      <w:pPr>
        <w:pStyle w:val="Listenabsatz"/>
        <w:ind w:left="0"/>
        <w:jc w:val="both"/>
        <w:rPr>
          <w:rFonts w:ascii="Arial" w:hAnsi="Arial" w:cs="Arial"/>
          <w:sz w:val="20"/>
          <w:szCs w:val="20"/>
        </w:rPr>
      </w:pPr>
      <w:r w:rsidRPr="00D46A08">
        <w:rPr>
          <w:rFonts w:ascii="Arial" w:hAnsi="Arial" w:cs="Arial"/>
          <w:sz w:val="20"/>
          <w:szCs w:val="20"/>
        </w:rPr>
        <w:t>b) Eine Weisung im Sinne des Art. 12 CMR stellt eine einseitige Willenserklärung dar, die als solche zu dem Zeitpunkt wirksam wird, zu dem sie dem Frachtführer zugeht. Sie muss so in den Geschäftsbereich des Frachtführers gelangen, dass dieser von ihr nach den Umständen des Einzelfalls bei Beachtung der im Verkehr erforderlichen Sorgfalt eines ordentlichen Frachtführers Kenntnis nehmen kann.</w:t>
      </w:r>
    </w:p>
    <w:p w:rsidR="00D46A08" w:rsidRDefault="00B736AD" w:rsidP="00D46A08">
      <w:pPr>
        <w:pStyle w:val="Listenabsatz"/>
        <w:ind w:left="0"/>
        <w:jc w:val="both"/>
        <w:rPr>
          <w:rFonts w:ascii="Arial" w:hAnsi="Arial" w:cs="Arial"/>
          <w:sz w:val="20"/>
          <w:szCs w:val="20"/>
        </w:rPr>
      </w:pPr>
      <w:r w:rsidRPr="00D46A08">
        <w:rPr>
          <w:rFonts w:ascii="Arial" w:hAnsi="Arial" w:cs="Arial"/>
          <w:sz w:val="20"/>
          <w:szCs w:val="20"/>
        </w:rPr>
        <w:t>c) Das Entstehen eines Weisungsrechts des Absenders gemäß Art. 12 CMR hängt nicht von der Ausstellung eines Frachtbriefs ab, sondern vom Abschluss des Beförderungsvertrags. Beim Fehlen eines Frachtbriefs hat eine Weisung daher nur den weiteren Erfordernissen des Art. 12 Abs. 5 CMR zu entsprechen.</w:t>
      </w:r>
    </w:p>
    <w:p w:rsidR="00D46A08" w:rsidRDefault="00B736AD" w:rsidP="00D46A08">
      <w:pPr>
        <w:pStyle w:val="Listenabsatz"/>
        <w:ind w:left="0"/>
        <w:jc w:val="both"/>
        <w:rPr>
          <w:rFonts w:ascii="Arial" w:hAnsi="Arial" w:cs="Arial"/>
          <w:sz w:val="20"/>
          <w:szCs w:val="20"/>
        </w:rPr>
      </w:pPr>
      <w:r w:rsidRPr="00D46A08">
        <w:rPr>
          <w:rFonts w:ascii="Arial" w:hAnsi="Arial" w:cs="Arial"/>
          <w:sz w:val="20"/>
          <w:szCs w:val="20"/>
        </w:rPr>
        <w:t>d) In der Verplombung des vom Frachtführer zur Verfügung gestellten Transportbehältnisses kann die schlüssige Weisung gemäß Art. 12 CMR zu sehen sein, das Frachtgut beim Empfänger in dem verplombten Behältnis abzuliefern.</w:t>
      </w:r>
    </w:p>
    <w:p w:rsidR="00D46A08" w:rsidRDefault="00B736AD" w:rsidP="00D46A08">
      <w:pPr>
        <w:pStyle w:val="Listenabsatz"/>
        <w:ind w:left="0"/>
        <w:jc w:val="both"/>
        <w:rPr>
          <w:rFonts w:ascii="Arial" w:hAnsi="Arial" w:cs="Arial"/>
          <w:sz w:val="20"/>
          <w:szCs w:val="20"/>
        </w:rPr>
      </w:pPr>
      <w:r w:rsidRPr="00D46A08">
        <w:rPr>
          <w:rFonts w:ascii="Arial" w:hAnsi="Arial" w:cs="Arial"/>
          <w:sz w:val="20"/>
          <w:szCs w:val="20"/>
        </w:rPr>
        <w:t>e) Ein für einen Transport vom Frachtführer eingesetzter Fahrer ist im Allgemeinen nicht bevollmächtigt, für diesen eine zu einer einseitigen Vertragsänderung führende Weisung gemäß Art. 12 CMR entgegenzunehmen.</w:t>
      </w:r>
    </w:p>
    <w:p w:rsidR="00D46A08" w:rsidRDefault="00B736AD" w:rsidP="00D46A08">
      <w:pPr>
        <w:pStyle w:val="Listenabsatz"/>
        <w:ind w:left="0"/>
        <w:jc w:val="both"/>
        <w:rPr>
          <w:rFonts w:ascii="Arial" w:hAnsi="Arial" w:cs="Arial"/>
          <w:sz w:val="20"/>
          <w:szCs w:val="20"/>
        </w:rPr>
      </w:pPr>
      <w:r w:rsidRPr="00D46A08">
        <w:rPr>
          <w:rFonts w:ascii="Arial" w:hAnsi="Arial" w:cs="Arial"/>
          <w:sz w:val="20"/>
          <w:szCs w:val="20"/>
        </w:rPr>
        <w:t>f) Eine dem nicht empfangsbevollmächtigten Fahrer zugegangene Weisung ist nicht rechtsverbindlich. Im Falle ihrer Nichtbeachtung haftet der Frachtführer daher weder gemäß Art. 12 Abs. 7 Fall 1 CMR noch gemäß § 280 BGB.</w:t>
      </w:r>
    </w:p>
    <w:p w:rsidR="00B736AD" w:rsidRPr="00D46A08" w:rsidRDefault="00B736AD" w:rsidP="00D46A08">
      <w:pPr>
        <w:pStyle w:val="Listenabsatz"/>
        <w:ind w:left="0"/>
        <w:jc w:val="both"/>
        <w:rPr>
          <w:rFonts w:ascii="Arial" w:hAnsi="Arial" w:cs="Arial"/>
          <w:sz w:val="20"/>
          <w:szCs w:val="20"/>
        </w:rPr>
      </w:pPr>
      <w:r w:rsidRPr="00D46A08">
        <w:rPr>
          <w:rFonts w:ascii="Arial" w:hAnsi="Arial" w:cs="Arial"/>
          <w:sz w:val="20"/>
          <w:szCs w:val="20"/>
        </w:rPr>
        <w:t>g) Wenn der Empfänger die Annahme des Gutes verweigert, beginnt die Verjährung nach Art. 32 Abs. 1 CMR nicht schon gemäß Art. 32 Abs. 1 Satz 3 Buchst. a CMR mit dessen Andienung beim Empfänger, sondern, wenn der Absender wegen dieser Weigerung die Weisung erteilt hat, das Frachtgut zu ihm zurückzubringen, mit dem Eintreffen bei diesem.</w:t>
      </w:r>
    </w:p>
    <w:p w:rsidR="009D443A" w:rsidRPr="00D46A08" w:rsidRDefault="009D443A" w:rsidP="00D46A08">
      <w:pPr>
        <w:rPr>
          <w:rFonts w:ascii="Arial" w:hAnsi="Arial" w:cs="Arial"/>
          <w:sz w:val="20"/>
          <w:szCs w:val="20"/>
        </w:rPr>
      </w:pPr>
    </w:p>
    <w:p w:rsidR="009D443A" w:rsidRPr="00D46A08" w:rsidRDefault="00D46A08" w:rsidP="00D46A08">
      <w:pPr>
        <w:jc w:val="center"/>
        <w:rPr>
          <w:rFonts w:ascii="Arial" w:hAnsi="Arial" w:cs="Arial"/>
          <w:b/>
          <w:sz w:val="20"/>
          <w:szCs w:val="20"/>
        </w:rPr>
      </w:pPr>
      <w:r w:rsidRPr="00D46A08">
        <w:rPr>
          <w:rFonts w:ascii="Arial" w:hAnsi="Arial" w:cs="Arial"/>
          <w:b/>
          <w:sz w:val="20"/>
          <w:szCs w:val="20"/>
        </w:rPr>
        <w:t>III.</w:t>
      </w:r>
    </w:p>
    <w:p w:rsidR="009D443A" w:rsidRPr="00D46A08" w:rsidRDefault="009D443A" w:rsidP="00D46A08">
      <w:pPr>
        <w:pStyle w:val="berschrift3"/>
        <w:spacing w:after="0" w:line="240" w:lineRule="auto"/>
        <w:jc w:val="center"/>
        <w:rPr>
          <w:rFonts w:ascii="Arial" w:hAnsi="Arial" w:cs="Arial"/>
          <w:sz w:val="20"/>
          <w:szCs w:val="20"/>
        </w:rPr>
      </w:pPr>
      <w:r w:rsidRPr="00D46A08">
        <w:rPr>
          <w:rFonts w:ascii="Arial" w:hAnsi="Arial" w:cs="Arial"/>
          <w:sz w:val="20"/>
          <w:szCs w:val="20"/>
        </w:rPr>
        <w:t>Unaufgeforderte Aufklärung über Vertriebsprovision</w:t>
      </w:r>
    </w:p>
    <w:p w:rsidR="009D443A" w:rsidRPr="00D46A08" w:rsidRDefault="00D46A08" w:rsidP="00D46A08">
      <w:pPr>
        <w:pStyle w:val="berschrift4"/>
        <w:spacing w:after="0"/>
        <w:jc w:val="center"/>
        <w:rPr>
          <w:rFonts w:ascii="Arial" w:hAnsi="Arial" w:cs="Arial"/>
          <w:color w:val="auto"/>
          <w:sz w:val="20"/>
          <w:szCs w:val="20"/>
        </w:rPr>
      </w:pPr>
      <w:r w:rsidRPr="00D46A08">
        <w:rPr>
          <w:rFonts w:ascii="Arial" w:hAnsi="Arial" w:cs="Arial"/>
          <w:color w:val="auto"/>
          <w:sz w:val="20"/>
          <w:szCs w:val="20"/>
        </w:rPr>
        <w:t xml:space="preserve">BGH, </w:t>
      </w:r>
      <w:r w:rsidR="009D443A" w:rsidRPr="00D46A08">
        <w:rPr>
          <w:rFonts w:ascii="Arial" w:hAnsi="Arial" w:cs="Arial"/>
          <w:color w:val="auto"/>
          <w:sz w:val="20"/>
          <w:szCs w:val="20"/>
        </w:rPr>
        <w:t>Urteil vom 19.10.2017, Az</w:t>
      </w:r>
      <w:r>
        <w:rPr>
          <w:rFonts w:ascii="Arial" w:hAnsi="Arial" w:cs="Arial"/>
          <w:color w:val="auto"/>
          <w:sz w:val="20"/>
          <w:szCs w:val="20"/>
        </w:rPr>
        <w:t>.</w:t>
      </w:r>
      <w:r w:rsidR="009D443A" w:rsidRPr="00D46A08">
        <w:rPr>
          <w:rFonts w:ascii="Arial" w:hAnsi="Arial" w:cs="Arial"/>
          <w:color w:val="auto"/>
          <w:sz w:val="20"/>
          <w:szCs w:val="20"/>
        </w:rPr>
        <w:t xml:space="preserve"> III ZR 565/16</w:t>
      </w:r>
    </w:p>
    <w:p w:rsidR="00D46A08" w:rsidRDefault="00D46A08" w:rsidP="00D46A08">
      <w:pPr>
        <w:rPr>
          <w:rFonts w:ascii="Arial" w:hAnsi="Arial" w:cs="Arial"/>
          <w:sz w:val="20"/>
          <w:szCs w:val="20"/>
        </w:rPr>
      </w:pPr>
    </w:p>
    <w:p w:rsidR="009D443A" w:rsidRPr="00D46A08" w:rsidRDefault="009D443A" w:rsidP="00D46A08">
      <w:pPr>
        <w:rPr>
          <w:rFonts w:ascii="Arial" w:hAnsi="Arial" w:cs="Arial"/>
          <w:sz w:val="20"/>
          <w:szCs w:val="20"/>
        </w:rPr>
      </w:pPr>
      <w:r w:rsidRPr="00D46A08">
        <w:rPr>
          <w:rFonts w:ascii="Arial" w:hAnsi="Arial" w:cs="Arial"/>
          <w:sz w:val="20"/>
          <w:szCs w:val="20"/>
        </w:rPr>
        <w:t>BGB § 675</w:t>
      </w:r>
      <w:r w:rsidR="00D46A08">
        <w:rPr>
          <w:rFonts w:ascii="Arial" w:hAnsi="Arial" w:cs="Arial"/>
          <w:sz w:val="20"/>
          <w:szCs w:val="20"/>
        </w:rPr>
        <w:t xml:space="preserve"> </w:t>
      </w:r>
      <w:r w:rsidRPr="00D46A08">
        <w:rPr>
          <w:rFonts w:ascii="Arial" w:hAnsi="Arial" w:cs="Arial"/>
          <w:sz w:val="20"/>
          <w:szCs w:val="20"/>
        </w:rPr>
        <w:t>ZPO § 138</w:t>
      </w:r>
    </w:p>
    <w:p w:rsidR="00D46A08" w:rsidRDefault="00D46A08" w:rsidP="00D46A08">
      <w:pPr>
        <w:rPr>
          <w:rFonts w:ascii="Arial" w:hAnsi="Arial" w:cs="Arial"/>
          <w:sz w:val="20"/>
          <w:szCs w:val="20"/>
        </w:rPr>
      </w:pPr>
      <w:r>
        <w:rPr>
          <w:rFonts w:ascii="Arial" w:hAnsi="Arial" w:cs="Arial"/>
          <w:sz w:val="20"/>
          <w:szCs w:val="20"/>
        </w:rPr>
        <w:lastRenderedPageBreak/>
        <w:t xml:space="preserve">a) </w:t>
      </w:r>
      <w:r w:rsidR="009D443A" w:rsidRPr="00D46A08">
        <w:rPr>
          <w:rFonts w:ascii="Arial" w:hAnsi="Arial" w:cs="Arial"/>
          <w:sz w:val="20"/>
          <w:szCs w:val="20"/>
        </w:rPr>
        <w:t xml:space="preserve">Anlagevermittler und Anlageberater haben den Erwerber einer von ihnen vermittelten Kapitalanlage unaufgefordert über Vertriebsprovisionen aufzuklären, wenn diese eine Größenordnung von 15 % des von den Anlegern einzubringenden Kapitals überschreiten. In die Berechnung der </w:t>
      </w:r>
      <w:r w:rsidR="00C603C8">
        <w:rPr>
          <w:rFonts w:ascii="Arial" w:hAnsi="Arial" w:cs="Arial"/>
          <w:sz w:val="20"/>
          <w:szCs w:val="20"/>
        </w:rPr>
        <w:t>V</w:t>
      </w:r>
      <w:r w:rsidR="009D443A" w:rsidRPr="00D46A08">
        <w:rPr>
          <w:rFonts w:ascii="Arial" w:hAnsi="Arial" w:cs="Arial"/>
          <w:sz w:val="20"/>
          <w:szCs w:val="20"/>
        </w:rPr>
        <w:t>ertriebsprovisionen ist ein auf das Beteiligungskapital zu zahlendes Agio einzubeziehen (Bestätigung und Fortführung von BGH, Urteile vom 12. Februar 2004 - III ZR 359/02 , BGHZ 158, 110 ; vom 9. Februar 2006 - III ZR 20/05 , NJW-RR 2006, 685; vom 3. März 2011 - III ZR 170/10 , WM 2011, 640; vom 12. Dezember 2013 - III ZR 404/12 , WM 2014, 118 und vom 23. Juni 2016 - III ZR 308/15 , WM 2016, 1333).</w:t>
      </w:r>
    </w:p>
    <w:p w:rsidR="00C603C8" w:rsidRDefault="00C603C8" w:rsidP="00D46A08">
      <w:pPr>
        <w:rPr>
          <w:rFonts w:ascii="Arial" w:hAnsi="Arial" w:cs="Arial"/>
          <w:sz w:val="20"/>
          <w:szCs w:val="20"/>
        </w:rPr>
      </w:pPr>
    </w:p>
    <w:p w:rsidR="009D443A" w:rsidRDefault="009D443A" w:rsidP="00D46A08">
      <w:pPr>
        <w:rPr>
          <w:rFonts w:ascii="Arial" w:hAnsi="Arial" w:cs="Arial"/>
          <w:sz w:val="20"/>
          <w:szCs w:val="20"/>
        </w:rPr>
      </w:pPr>
      <w:r w:rsidRPr="00D46A08">
        <w:rPr>
          <w:rFonts w:ascii="Arial" w:hAnsi="Arial" w:cs="Arial"/>
          <w:sz w:val="20"/>
          <w:szCs w:val="20"/>
        </w:rPr>
        <w:t>b) Zur Darlegungs- und Beweislast, wenn der Anleger behauptet, ein Emissionsprospekt sei ihm nicht übergeben worden.</w:t>
      </w:r>
    </w:p>
    <w:p w:rsidR="00D46A08" w:rsidRPr="00D46A08" w:rsidRDefault="00D46A08" w:rsidP="00D46A08">
      <w:pPr>
        <w:rPr>
          <w:rFonts w:ascii="Arial" w:hAnsi="Arial" w:cs="Arial"/>
          <w:sz w:val="20"/>
          <w:szCs w:val="20"/>
        </w:rPr>
      </w:pPr>
    </w:p>
    <w:p w:rsidR="009D443A" w:rsidRPr="00D46A08" w:rsidRDefault="00D46A08" w:rsidP="00D46A08">
      <w:pPr>
        <w:jc w:val="center"/>
        <w:rPr>
          <w:rFonts w:ascii="Arial" w:hAnsi="Arial" w:cs="Arial"/>
          <w:b/>
          <w:sz w:val="20"/>
          <w:szCs w:val="20"/>
        </w:rPr>
      </w:pPr>
      <w:r w:rsidRPr="00D46A08">
        <w:rPr>
          <w:rFonts w:ascii="Arial" w:hAnsi="Arial" w:cs="Arial"/>
          <w:b/>
          <w:sz w:val="20"/>
          <w:szCs w:val="20"/>
        </w:rPr>
        <w:t>IV.</w:t>
      </w:r>
    </w:p>
    <w:p w:rsidR="009D443A" w:rsidRPr="00D46A08" w:rsidRDefault="009D443A" w:rsidP="00D46A08">
      <w:pPr>
        <w:pStyle w:val="berschrift3"/>
        <w:spacing w:after="0" w:line="240" w:lineRule="auto"/>
        <w:jc w:val="center"/>
        <w:rPr>
          <w:rFonts w:ascii="Arial" w:hAnsi="Arial" w:cs="Arial"/>
          <w:sz w:val="20"/>
          <w:szCs w:val="20"/>
        </w:rPr>
      </w:pPr>
      <w:r w:rsidRPr="00D46A08">
        <w:rPr>
          <w:rFonts w:ascii="Arial" w:hAnsi="Arial" w:cs="Arial"/>
          <w:sz w:val="20"/>
          <w:szCs w:val="20"/>
        </w:rPr>
        <w:t>Nachschieben von Kündigungsgründen</w:t>
      </w:r>
    </w:p>
    <w:p w:rsidR="009D443A" w:rsidRPr="00D46A08" w:rsidRDefault="00D46A08" w:rsidP="00D46A08">
      <w:pPr>
        <w:pStyle w:val="berschrift4"/>
        <w:spacing w:after="0"/>
        <w:jc w:val="center"/>
        <w:rPr>
          <w:rFonts w:ascii="Arial" w:hAnsi="Arial" w:cs="Arial"/>
          <w:color w:val="auto"/>
          <w:sz w:val="20"/>
          <w:szCs w:val="20"/>
        </w:rPr>
      </w:pPr>
      <w:r w:rsidRPr="00D46A08">
        <w:rPr>
          <w:rFonts w:ascii="Arial" w:hAnsi="Arial" w:cs="Arial"/>
          <w:color w:val="auto"/>
          <w:sz w:val="20"/>
          <w:szCs w:val="20"/>
        </w:rPr>
        <w:t xml:space="preserve">BGH, </w:t>
      </w:r>
      <w:r w:rsidR="009D443A" w:rsidRPr="00D46A08">
        <w:rPr>
          <w:rFonts w:ascii="Arial" w:hAnsi="Arial" w:cs="Arial"/>
          <w:color w:val="auto"/>
          <w:sz w:val="20"/>
          <w:szCs w:val="20"/>
        </w:rPr>
        <w:t>Beschluss vom 11.10.2017, Az</w:t>
      </w:r>
      <w:r>
        <w:rPr>
          <w:rFonts w:ascii="Arial" w:hAnsi="Arial" w:cs="Arial"/>
          <w:color w:val="auto"/>
          <w:sz w:val="20"/>
          <w:szCs w:val="20"/>
        </w:rPr>
        <w:t>.</w:t>
      </w:r>
      <w:r w:rsidR="009D443A" w:rsidRPr="00D46A08">
        <w:rPr>
          <w:rFonts w:ascii="Arial" w:hAnsi="Arial" w:cs="Arial"/>
          <w:color w:val="auto"/>
          <w:sz w:val="20"/>
          <w:szCs w:val="20"/>
        </w:rPr>
        <w:t xml:space="preserve"> VII ZR 46/15</w:t>
      </w:r>
    </w:p>
    <w:p w:rsidR="00D46A08" w:rsidRDefault="00D46A08" w:rsidP="00D46A08">
      <w:pPr>
        <w:rPr>
          <w:rFonts w:ascii="Arial" w:hAnsi="Arial" w:cs="Arial"/>
          <w:sz w:val="20"/>
          <w:szCs w:val="20"/>
        </w:rPr>
      </w:pPr>
    </w:p>
    <w:p w:rsidR="009D443A" w:rsidRPr="00D46A08" w:rsidRDefault="009D443A" w:rsidP="00D46A08">
      <w:pPr>
        <w:rPr>
          <w:rFonts w:ascii="Arial" w:hAnsi="Arial" w:cs="Arial"/>
          <w:sz w:val="20"/>
          <w:szCs w:val="20"/>
        </w:rPr>
      </w:pPr>
      <w:r w:rsidRPr="00D46A08">
        <w:rPr>
          <w:rFonts w:ascii="Arial" w:hAnsi="Arial" w:cs="Arial"/>
          <w:sz w:val="20"/>
          <w:szCs w:val="20"/>
        </w:rPr>
        <w:t>VOB/B (2002) § 4 Nr. 7, § 8 Nr. 3</w:t>
      </w:r>
    </w:p>
    <w:p w:rsidR="009D443A" w:rsidRDefault="009D443A" w:rsidP="00D46A08">
      <w:pPr>
        <w:rPr>
          <w:rFonts w:ascii="Arial" w:hAnsi="Arial" w:cs="Arial"/>
          <w:sz w:val="21"/>
          <w:szCs w:val="21"/>
        </w:rPr>
      </w:pPr>
      <w:r w:rsidRPr="00D46A08">
        <w:rPr>
          <w:rFonts w:ascii="Arial" w:hAnsi="Arial" w:cs="Arial"/>
          <w:sz w:val="20"/>
          <w:szCs w:val="20"/>
        </w:rPr>
        <w:t>Beim Nachschieben von Kündigungsgründen kann eine Kündigung nach § 8 Nr. 3 in Verbindung mit § 4 Nr. 7 VOB/B (2002 ) nur dann als wirksam angesehen werden, wenn die in § 4 Nr. 7 VOB/B (2002 ) genannten Voraussetzungen</w:t>
      </w:r>
      <w:r>
        <w:rPr>
          <w:rFonts w:ascii="Arial" w:hAnsi="Arial" w:cs="Arial"/>
          <w:sz w:val="21"/>
          <w:szCs w:val="21"/>
        </w:rPr>
        <w:t xml:space="preserve"> im Zeitpunkt der Kündigung bereits vorlagen.</w:t>
      </w:r>
    </w:p>
    <w:p w:rsidR="00FC4272" w:rsidRDefault="00FC4272" w:rsidP="00D46A08">
      <w:pPr>
        <w:rPr>
          <w:rFonts w:ascii="Arial" w:hAnsi="Arial" w:cs="Arial"/>
          <w:sz w:val="21"/>
          <w:szCs w:val="21"/>
        </w:rPr>
      </w:pPr>
    </w:p>
    <w:p w:rsidR="00FC4272" w:rsidRPr="0012066A" w:rsidRDefault="0012066A" w:rsidP="0012066A">
      <w:pPr>
        <w:jc w:val="center"/>
        <w:rPr>
          <w:rFonts w:ascii="Arial" w:hAnsi="Arial" w:cs="Arial"/>
          <w:b/>
          <w:sz w:val="21"/>
          <w:szCs w:val="21"/>
        </w:rPr>
      </w:pPr>
      <w:r w:rsidRPr="0012066A">
        <w:rPr>
          <w:rFonts w:ascii="Arial" w:hAnsi="Arial" w:cs="Arial"/>
          <w:b/>
          <w:sz w:val="21"/>
          <w:szCs w:val="21"/>
        </w:rPr>
        <w:t>V.</w:t>
      </w:r>
    </w:p>
    <w:p w:rsidR="0012066A" w:rsidRPr="0012066A" w:rsidRDefault="0012066A" w:rsidP="0012066A">
      <w:pPr>
        <w:pStyle w:val="berschrift3"/>
        <w:spacing w:after="0" w:line="240" w:lineRule="auto"/>
        <w:jc w:val="center"/>
        <w:rPr>
          <w:rFonts w:ascii="Arial" w:hAnsi="Arial" w:cs="Arial"/>
          <w:sz w:val="20"/>
          <w:szCs w:val="20"/>
        </w:rPr>
      </w:pPr>
      <w:r w:rsidRPr="0012066A">
        <w:rPr>
          <w:rFonts w:ascii="Arial" w:hAnsi="Arial" w:cs="Arial"/>
          <w:sz w:val="20"/>
          <w:szCs w:val="20"/>
        </w:rPr>
        <w:t>Gläubigerbenachteiligung durch Rücktrittsrecht im Grundstückskaufvertrag</w:t>
      </w:r>
    </w:p>
    <w:p w:rsidR="0012066A" w:rsidRPr="0012066A" w:rsidRDefault="0012066A" w:rsidP="0012066A">
      <w:pPr>
        <w:pStyle w:val="berschrift4"/>
        <w:spacing w:after="0"/>
        <w:jc w:val="center"/>
        <w:rPr>
          <w:rFonts w:ascii="Arial" w:hAnsi="Arial" w:cs="Arial"/>
          <w:color w:val="auto"/>
        </w:rPr>
      </w:pPr>
      <w:r>
        <w:rPr>
          <w:rFonts w:ascii="Arial" w:hAnsi="Arial" w:cs="Arial"/>
          <w:color w:val="auto"/>
        </w:rPr>
        <w:t xml:space="preserve">BGH, </w:t>
      </w:r>
      <w:r w:rsidRPr="0012066A">
        <w:rPr>
          <w:rFonts w:ascii="Arial" w:hAnsi="Arial" w:cs="Arial"/>
          <w:color w:val="auto"/>
        </w:rPr>
        <w:t>Urteil vom 12.10.2017, Az: IX ZR 288/14</w:t>
      </w:r>
    </w:p>
    <w:p w:rsidR="00FC4272" w:rsidRPr="0012066A" w:rsidRDefault="00FC4272" w:rsidP="0012066A">
      <w:pPr>
        <w:rPr>
          <w:rFonts w:ascii="Arial" w:hAnsi="Arial" w:cs="Arial"/>
          <w:sz w:val="20"/>
          <w:szCs w:val="20"/>
        </w:rPr>
      </w:pPr>
    </w:p>
    <w:p w:rsidR="00FC4272" w:rsidRPr="0012066A" w:rsidRDefault="00FC4272" w:rsidP="0012066A">
      <w:pPr>
        <w:jc w:val="both"/>
        <w:rPr>
          <w:rFonts w:ascii="Arial" w:hAnsi="Arial" w:cs="Arial"/>
          <w:sz w:val="20"/>
          <w:szCs w:val="20"/>
        </w:rPr>
      </w:pPr>
      <w:r w:rsidRPr="0012066A">
        <w:rPr>
          <w:rFonts w:ascii="Arial" w:hAnsi="Arial" w:cs="Arial"/>
          <w:sz w:val="20"/>
          <w:szCs w:val="20"/>
        </w:rPr>
        <w:t>InsO § 129 Abs. 1</w:t>
      </w:r>
    </w:p>
    <w:p w:rsidR="00FC4272" w:rsidRDefault="00FC4272" w:rsidP="0012066A">
      <w:pPr>
        <w:jc w:val="both"/>
        <w:rPr>
          <w:rFonts w:ascii="Arial" w:hAnsi="Arial" w:cs="Arial"/>
          <w:sz w:val="20"/>
          <w:szCs w:val="20"/>
        </w:rPr>
      </w:pPr>
      <w:r w:rsidRPr="0012066A">
        <w:rPr>
          <w:rFonts w:ascii="Arial" w:hAnsi="Arial" w:cs="Arial"/>
          <w:sz w:val="20"/>
          <w:szCs w:val="20"/>
        </w:rPr>
        <w:t>Ein in einem Grundstückskaufvertrag zugunsten des Verkäufers vereinbartes Rücktrittsrecht für den Insolvenzfall ist nicht gläubigerbenachteiligend, wenn das Rücktrittsrecht von vornherein Bestandteil des gegenseitigen Vertrags ist, der Schuldner Rechte an der Sache ausschließlich aufgrund dieses Vertrags erworben hat, die Rücktrittsklausel den Berechtigten in den Stand setzt, einen Zugriff der Gläubiger auf die Sache jederzeit abwehren zu können, und die Rücktrittsklausel freie Verfügungen des Schuldners zugunsten einzelner Gläubiger ausschließt.</w:t>
      </w:r>
    </w:p>
    <w:p w:rsidR="00C603C8" w:rsidRPr="0012066A" w:rsidRDefault="00C603C8" w:rsidP="0012066A">
      <w:pPr>
        <w:jc w:val="both"/>
        <w:rPr>
          <w:rFonts w:ascii="Arial" w:hAnsi="Arial" w:cs="Arial"/>
          <w:sz w:val="20"/>
          <w:szCs w:val="20"/>
        </w:rPr>
      </w:pPr>
    </w:p>
    <w:p w:rsidR="00FC4272" w:rsidRPr="0012066A" w:rsidRDefault="00FC4272" w:rsidP="0012066A">
      <w:pPr>
        <w:jc w:val="both"/>
        <w:rPr>
          <w:rFonts w:ascii="Arial" w:hAnsi="Arial" w:cs="Arial"/>
          <w:sz w:val="20"/>
          <w:szCs w:val="20"/>
        </w:rPr>
      </w:pPr>
      <w:r w:rsidRPr="0012066A">
        <w:rPr>
          <w:rFonts w:ascii="Arial" w:hAnsi="Arial" w:cs="Arial"/>
          <w:sz w:val="20"/>
          <w:szCs w:val="20"/>
        </w:rPr>
        <w:t>InsO §§ 129 , 143</w:t>
      </w:r>
    </w:p>
    <w:p w:rsidR="00FC4272" w:rsidRPr="0012066A" w:rsidRDefault="00FC4272" w:rsidP="0012066A">
      <w:pPr>
        <w:jc w:val="both"/>
        <w:rPr>
          <w:rFonts w:ascii="Arial" w:hAnsi="Arial" w:cs="Arial"/>
          <w:sz w:val="20"/>
          <w:szCs w:val="20"/>
        </w:rPr>
      </w:pPr>
      <w:r w:rsidRPr="0012066A">
        <w:rPr>
          <w:rFonts w:ascii="Arial" w:hAnsi="Arial" w:cs="Arial"/>
          <w:sz w:val="20"/>
          <w:szCs w:val="20"/>
        </w:rPr>
        <w:t>Die Verpflichtung des Schuldners in einem Grundstückskaufvertrag zur unentgeltlichen Rückübertragung im Fall des Rücktritts ist gläubigerbenachteiligend. Der Verwalter kann in diesem Fall verlangen, dass die Masse so gestellt wird, wie wenn dem Schuldner die gesetzlichen Ansprüche aus dem Rückgewährschuldverhältnis zustünden.</w:t>
      </w:r>
    </w:p>
    <w:p w:rsidR="00FC4272" w:rsidRDefault="00FC4272" w:rsidP="00FC4272">
      <w:pPr>
        <w:rPr>
          <w:rFonts w:ascii="Arial" w:hAnsi="Arial" w:cs="Arial"/>
          <w:sz w:val="21"/>
          <w:szCs w:val="21"/>
        </w:rPr>
      </w:pPr>
    </w:p>
    <w:p w:rsidR="00FC4272" w:rsidRPr="0012066A" w:rsidRDefault="0012066A" w:rsidP="0012066A">
      <w:pPr>
        <w:jc w:val="center"/>
        <w:rPr>
          <w:rFonts w:ascii="Arial" w:hAnsi="Arial" w:cs="Arial"/>
          <w:b/>
          <w:sz w:val="21"/>
          <w:szCs w:val="21"/>
        </w:rPr>
      </w:pPr>
      <w:r w:rsidRPr="0012066A">
        <w:rPr>
          <w:rFonts w:ascii="Arial" w:hAnsi="Arial" w:cs="Arial"/>
          <w:b/>
          <w:sz w:val="21"/>
          <w:szCs w:val="21"/>
        </w:rPr>
        <w:t>VI.</w:t>
      </w:r>
    </w:p>
    <w:p w:rsidR="0012066A" w:rsidRPr="0012066A" w:rsidRDefault="0012066A" w:rsidP="0012066A">
      <w:pPr>
        <w:jc w:val="center"/>
        <w:rPr>
          <w:rFonts w:ascii="Arial" w:hAnsi="Arial" w:cs="Arial"/>
          <w:b/>
          <w:bCs/>
          <w:sz w:val="20"/>
          <w:szCs w:val="20"/>
        </w:rPr>
      </w:pPr>
      <w:r w:rsidRPr="0012066A">
        <w:rPr>
          <w:rFonts w:ascii="Arial" w:hAnsi="Arial" w:cs="Arial"/>
          <w:b/>
          <w:bCs/>
          <w:sz w:val="20"/>
          <w:szCs w:val="20"/>
        </w:rPr>
        <w:t>Annahmeverzug, tatsächliches Angebot, Leistungsunwilligkeit</w:t>
      </w:r>
    </w:p>
    <w:p w:rsidR="00FC4272" w:rsidRPr="0012066A" w:rsidRDefault="00FC4272" w:rsidP="0012066A">
      <w:pPr>
        <w:ind w:right="540"/>
        <w:jc w:val="center"/>
        <w:rPr>
          <w:rFonts w:ascii="Arial" w:hAnsi="Arial" w:cs="Arial"/>
          <w:bCs/>
          <w:sz w:val="20"/>
          <w:szCs w:val="20"/>
          <w:lang w:eastAsia="en-US"/>
        </w:rPr>
      </w:pPr>
      <w:r w:rsidRPr="0012066A">
        <w:rPr>
          <w:rFonts w:ascii="Arial" w:hAnsi="Arial" w:cs="Arial"/>
          <w:bCs/>
          <w:sz w:val="20"/>
          <w:szCs w:val="20"/>
        </w:rPr>
        <w:t>Landesarbeitsgericht Köln</w:t>
      </w:r>
      <w:r w:rsidR="0012066A" w:rsidRPr="0012066A">
        <w:rPr>
          <w:rFonts w:ascii="Arial" w:hAnsi="Arial" w:cs="Arial"/>
          <w:bCs/>
          <w:sz w:val="20"/>
          <w:szCs w:val="20"/>
        </w:rPr>
        <w:t xml:space="preserve">, </w:t>
      </w:r>
      <w:r w:rsidRPr="0012066A">
        <w:rPr>
          <w:rFonts w:ascii="Arial" w:hAnsi="Arial" w:cs="Arial"/>
          <w:bCs/>
          <w:sz w:val="20"/>
          <w:szCs w:val="20"/>
        </w:rPr>
        <w:t xml:space="preserve">Urteil vom </w:t>
      </w:r>
      <w:r w:rsidR="0012066A" w:rsidRPr="0012066A">
        <w:rPr>
          <w:rFonts w:ascii="Arial" w:hAnsi="Arial" w:cs="Arial"/>
          <w:bCs/>
          <w:sz w:val="20"/>
          <w:szCs w:val="20"/>
        </w:rPr>
        <w:t>0</w:t>
      </w:r>
      <w:r w:rsidRPr="0012066A">
        <w:rPr>
          <w:rFonts w:ascii="Arial" w:hAnsi="Arial" w:cs="Arial"/>
          <w:bCs/>
          <w:sz w:val="20"/>
          <w:szCs w:val="20"/>
        </w:rPr>
        <w:t xml:space="preserve">8.09.2017, </w:t>
      </w:r>
      <w:r w:rsidR="0012066A" w:rsidRPr="0012066A">
        <w:rPr>
          <w:rFonts w:ascii="Arial" w:hAnsi="Arial" w:cs="Arial"/>
          <w:bCs/>
          <w:sz w:val="20"/>
          <w:szCs w:val="20"/>
        </w:rPr>
        <w:t xml:space="preserve">Az. </w:t>
      </w:r>
      <w:r w:rsidRPr="0012066A">
        <w:rPr>
          <w:rFonts w:ascii="Arial" w:hAnsi="Arial" w:cs="Arial"/>
          <w:bCs/>
          <w:sz w:val="20"/>
          <w:szCs w:val="20"/>
        </w:rPr>
        <w:t>4 Sa 62/17</w:t>
      </w:r>
    </w:p>
    <w:p w:rsidR="00FC4272" w:rsidRPr="0012066A" w:rsidRDefault="00FC4272" w:rsidP="0012066A">
      <w:pPr>
        <w:ind w:right="480"/>
        <w:jc w:val="center"/>
        <w:rPr>
          <w:rFonts w:ascii="Arial" w:hAnsi="Arial" w:cs="Arial"/>
          <w:b/>
          <w:bCs/>
          <w:sz w:val="20"/>
          <w:szCs w:val="20"/>
        </w:rPr>
      </w:pPr>
    </w:p>
    <w:p w:rsidR="00FC4272" w:rsidRDefault="00FC4272" w:rsidP="0012066A">
      <w:pPr>
        <w:jc w:val="both"/>
        <w:rPr>
          <w:rFonts w:ascii="Arial" w:hAnsi="Arial" w:cs="Arial"/>
          <w:sz w:val="20"/>
          <w:szCs w:val="20"/>
        </w:rPr>
      </w:pPr>
      <w:r w:rsidRPr="0012066A">
        <w:rPr>
          <w:rFonts w:ascii="Arial" w:hAnsi="Arial" w:cs="Arial"/>
          <w:sz w:val="20"/>
          <w:szCs w:val="20"/>
        </w:rPr>
        <w:t>1. Im ungekündigten Arbeitsverhältnis ist die Arbeitsleistung grundsätzlich tatsächlich im Sinne des § 294 BGB anzubieten. Ein wörtliches Angebot kann ein tatsächliches Angebot nicht ersetzen, auch wenn es mehrfach wiederholt wird.</w:t>
      </w:r>
    </w:p>
    <w:p w:rsidR="00C603C8" w:rsidRPr="0012066A" w:rsidRDefault="00C603C8" w:rsidP="0012066A">
      <w:pPr>
        <w:jc w:val="both"/>
        <w:rPr>
          <w:rFonts w:ascii="Arial" w:hAnsi="Arial" w:cs="Arial"/>
          <w:sz w:val="20"/>
          <w:szCs w:val="20"/>
        </w:rPr>
      </w:pPr>
    </w:p>
    <w:p w:rsidR="00FC4272" w:rsidRPr="0012066A" w:rsidRDefault="00FC4272" w:rsidP="0012066A">
      <w:pPr>
        <w:jc w:val="both"/>
        <w:rPr>
          <w:rFonts w:ascii="Arial" w:hAnsi="Arial" w:cs="Arial"/>
          <w:sz w:val="20"/>
          <w:szCs w:val="20"/>
        </w:rPr>
      </w:pPr>
      <w:r w:rsidRPr="0012066A">
        <w:rPr>
          <w:rFonts w:ascii="Arial" w:hAnsi="Arial" w:cs="Arial"/>
          <w:sz w:val="20"/>
          <w:szCs w:val="20"/>
        </w:rPr>
        <w:t>2. Ist der Arbeitnehmer vor Ausspruch einer Kündigung leistungsunwillig, hat er einen etwa wieder gefassten Leistungswillen durch ein tatsächliches Arbeitsangebot zu dokumentieren. Ein wörtliches Angebot ist dann auch nach Ausspruch einer Kündigung regelmäßig nicht ausreichend (vgl. BAG, Urteil vom 22.02.2012 – 5 AZR 249/11 –, Rn. 27).</w:t>
      </w:r>
    </w:p>
    <w:p w:rsidR="00FC4272" w:rsidRPr="0012066A" w:rsidRDefault="00FC4272" w:rsidP="0012066A">
      <w:pPr>
        <w:jc w:val="both"/>
        <w:rPr>
          <w:rFonts w:ascii="Arial" w:hAnsi="Arial" w:cs="Arial"/>
          <w:sz w:val="20"/>
          <w:szCs w:val="20"/>
        </w:rPr>
      </w:pPr>
    </w:p>
    <w:p w:rsidR="00FC4272" w:rsidRDefault="0012066A" w:rsidP="0012066A">
      <w:pPr>
        <w:jc w:val="center"/>
        <w:rPr>
          <w:rFonts w:ascii="Arial" w:hAnsi="Arial" w:cs="Arial"/>
          <w:b/>
          <w:sz w:val="20"/>
          <w:szCs w:val="20"/>
        </w:rPr>
      </w:pPr>
      <w:r w:rsidRPr="0012066A">
        <w:rPr>
          <w:rFonts w:ascii="Arial" w:hAnsi="Arial" w:cs="Arial"/>
          <w:b/>
          <w:sz w:val="20"/>
          <w:szCs w:val="20"/>
        </w:rPr>
        <w:t>VII.</w:t>
      </w:r>
    </w:p>
    <w:p w:rsidR="0012066A" w:rsidRPr="0012066A" w:rsidRDefault="0012066A" w:rsidP="0012066A">
      <w:pPr>
        <w:jc w:val="center"/>
        <w:rPr>
          <w:rFonts w:ascii="Arial" w:hAnsi="Arial" w:cs="Arial"/>
          <w:b/>
          <w:bCs/>
          <w:sz w:val="20"/>
          <w:szCs w:val="20"/>
        </w:rPr>
      </w:pPr>
      <w:r w:rsidRPr="0012066A">
        <w:rPr>
          <w:rFonts w:ascii="Arial" w:hAnsi="Arial" w:cs="Arial"/>
          <w:b/>
          <w:bCs/>
          <w:sz w:val="20"/>
          <w:szCs w:val="20"/>
        </w:rPr>
        <w:t>Überwachung der betrieblichen Berufsbildung durch den Betriebsrat; Abberufung eines Ausbilders auf Verlangen des Betriebsrats; Fachliche Eignung eines Ausbilders; Vernachlässigung der Aufgaben eines Ausbilders; Verbundausbildung</w:t>
      </w:r>
    </w:p>
    <w:p w:rsidR="00FC4272" w:rsidRPr="0012066A" w:rsidRDefault="00FC4272" w:rsidP="0012066A">
      <w:pPr>
        <w:ind w:right="540"/>
        <w:jc w:val="center"/>
        <w:rPr>
          <w:rFonts w:ascii="Arial" w:hAnsi="Arial" w:cs="Arial"/>
          <w:b/>
          <w:bCs/>
          <w:sz w:val="20"/>
          <w:szCs w:val="20"/>
          <w:lang w:eastAsia="en-US"/>
        </w:rPr>
      </w:pPr>
      <w:r w:rsidRPr="0012066A">
        <w:rPr>
          <w:rFonts w:ascii="Arial" w:hAnsi="Arial" w:cs="Arial"/>
          <w:bCs/>
          <w:sz w:val="20"/>
          <w:szCs w:val="20"/>
        </w:rPr>
        <w:t>Landesarbeitsgericht Baden-Württemberg</w:t>
      </w:r>
      <w:r w:rsidR="0012066A" w:rsidRPr="0012066A">
        <w:rPr>
          <w:rFonts w:ascii="Arial" w:hAnsi="Arial" w:cs="Arial"/>
          <w:bCs/>
          <w:sz w:val="20"/>
          <w:szCs w:val="20"/>
        </w:rPr>
        <w:t xml:space="preserve">, </w:t>
      </w:r>
      <w:r w:rsidRPr="0012066A">
        <w:rPr>
          <w:rFonts w:ascii="Arial" w:hAnsi="Arial" w:cs="Arial"/>
          <w:bCs/>
          <w:sz w:val="20"/>
          <w:szCs w:val="20"/>
        </w:rPr>
        <w:t>Beschluss vom 20.10.2017, 15 TaBV</w:t>
      </w:r>
      <w:r w:rsidRPr="0012066A">
        <w:rPr>
          <w:rFonts w:ascii="Arial" w:hAnsi="Arial" w:cs="Arial"/>
          <w:b/>
          <w:bCs/>
          <w:color w:val="002060"/>
          <w:sz w:val="20"/>
          <w:szCs w:val="20"/>
        </w:rPr>
        <w:t xml:space="preserve"> </w:t>
      </w:r>
      <w:r w:rsidRPr="0012066A">
        <w:rPr>
          <w:rFonts w:ascii="Arial" w:hAnsi="Arial" w:cs="Arial"/>
          <w:bCs/>
          <w:sz w:val="20"/>
          <w:szCs w:val="20"/>
        </w:rPr>
        <w:t>2/17</w:t>
      </w:r>
    </w:p>
    <w:p w:rsidR="00FC4272" w:rsidRPr="00C603C8" w:rsidRDefault="00FC4272" w:rsidP="0012066A">
      <w:pPr>
        <w:ind w:right="480"/>
        <w:jc w:val="both"/>
        <w:rPr>
          <w:rFonts w:ascii="Arial" w:hAnsi="Arial" w:cs="Arial"/>
          <w:b/>
          <w:bCs/>
          <w:sz w:val="20"/>
          <w:szCs w:val="20"/>
        </w:rPr>
      </w:pPr>
    </w:p>
    <w:p w:rsidR="0012066A" w:rsidRDefault="00FC4272" w:rsidP="0012066A">
      <w:pPr>
        <w:jc w:val="both"/>
        <w:rPr>
          <w:rFonts w:ascii="Arial" w:hAnsi="Arial" w:cs="Arial"/>
          <w:sz w:val="20"/>
          <w:szCs w:val="20"/>
        </w:rPr>
      </w:pPr>
      <w:r w:rsidRPr="0012066A">
        <w:rPr>
          <w:rFonts w:ascii="Arial" w:hAnsi="Arial" w:cs="Arial"/>
          <w:sz w:val="20"/>
          <w:szCs w:val="20"/>
        </w:rPr>
        <w:t>1. Dem Betriebsrat obliegt die ihm von § 98 Abs. 2 BetrVG anvertraute Überwachung der fachlichen Eignung einer mit der Durchführung der betrieblichen Berufsbildung beauftragten Person eigenständig. An eine Bejahung der fachlichen Eignung durch die Industrie- und Handelskammer sind weder er noch die Gerichte für Arbeitssachen gebunden.</w:t>
      </w:r>
    </w:p>
    <w:p w:rsidR="00C603C8" w:rsidRPr="0012066A" w:rsidRDefault="00C603C8" w:rsidP="0012066A">
      <w:pPr>
        <w:jc w:val="both"/>
        <w:rPr>
          <w:rFonts w:ascii="Arial" w:hAnsi="Arial" w:cs="Arial"/>
          <w:sz w:val="20"/>
          <w:szCs w:val="20"/>
        </w:rPr>
      </w:pPr>
    </w:p>
    <w:p w:rsidR="0012066A" w:rsidRDefault="00FC4272" w:rsidP="0012066A">
      <w:pPr>
        <w:jc w:val="both"/>
        <w:rPr>
          <w:rFonts w:ascii="Arial" w:hAnsi="Arial" w:cs="Arial"/>
          <w:sz w:val="20"/>
          <w:szCs w:val="20"/>
        </w:rPr>
      </w:pPr>
      <w:r w:rsidRPr="0012066A">
        <w:rPr>
          <w:rFonts w:ascii="Arial" w:hAnsi="Arial" w:cs="Arial"/>
          <w:sz w:val="20"/>
          <w:szCs w:val="20"/>
        </w:rPr>
        <w:t>2. Die fachliche Eignung iSv. § 98 Abs. 2 BetrVG eines Ausbilders iSv. § 28 Abs. 2 BBiG richtet sich nach § 30 BBiG. Der Ausbilder muss unter anderem die beruflichen Fertigkeiten, Kenntnisse und Fähigkeiten besitzen, die für die Vermittlung der Ausbildungsinhalte erforderlich sind.</w:t>
      </w:r>
    </w:p>
    <w:p w:rsidR="00C603C8" w:rsidRPr="0012066A" w:rsidRDefault="00C603C8" w:rsidP="0012066A">
      <w:pPr>
        <w:jc w:val="both"/>
        <w:rPr>
          <w:rFonts w:ascii="Arial" w:hAnsi="Arial" w:cs="Arial"/>
          <w:sz w:val="20"/>
          <w:szCs w:val="20"/>
        </w:rPr>
      </w:pPr>
    </w:p>
    <w:p w:rsidR="0012066A" w:rsidRDefault="00FC4272" w:rsidP="0012066A">
      <w:pPr>
        <w:jc w:val="both"/>
        <w:rPr>
          <w:rFonts w:ascii="Arial" w:hAnsi="Arial" w:cs="Arial"/>
          <w:sz w:val="20"/>
          <w:szCs w:val="20"/>
        </w:rPr>
      </w:pPr>
      <w:r w:rsidRPr="0012066A">
        <w:rPr>
          <w:rFonts w:ascii="Arial" w:hAnsi="Arial" w:cs="Arial"/>
          <w:sz w:val="20"/>
          <w:szCs w:val="20"/>
        </w:rPr>
        <w:t>3. Die eigene Ausbildung des Ausbilders betrifft eine "entsprechende Fachrichtung" iSv. § 30 Abs. 2 Nr. 1 BBiG, wenn sie dem Ausbildungsberuf, für den er ausbilden soll, inhaltlich so weit angenähert ist, dass davon auszugehen ist, dass der Ausbilder auch die berufliche Handlungsfähigkeit dieses Ausbildungsberufs vermitteln kann.</w:t>
      </w:r>
    </w:p>
    <w:p w:rsidR="00C603C8" w:rsidRPr="0012066A" w:rsidRDefault="00C603C8" w:rsidP="0012066A">
      <w:pPr>
        <w:jc w:val="both"/>
        <w:rPr>
          <w:rFonts w:ascii="Arial" w:hAnsi="Arial" w:cs="Arial"/>
          <w:sz w:val="20"/>
          <w:szCs w:val="20"/>
        </w:rPr>
      </w:pPr>
    </w:p>
    <w:p w:rsidR="0012066A" w:rsidRDefault="00FC4272" w:rsidP="0012066A">
      <w:pPr>
        <w:jc w:val="both"/>
        <w:rPr>
          <w:rFonts w:ascii="Arial" w:hAnsi="Arial" w:cs="Arial"/>
          <w:sz w:val="20"/>
          <w:szCs w:val="20"/>
        </w:rPr>
      </w:pPr>
      <w:r w:rsidRPr="0012066A">
        <w:rPr>
          <w:rFonts w:ascii="Arial" w:hAnsi="Arial" w:cs="Arial"/>
          <w:sz w:val="20"/>
          <w:szCs w:val="20"/>
        </w:rPr>
        <w:t>4. Eine dem Ausbilder eines ausbildenden Unternehmens teilweise fehlende fachliche Eignung kann durch eine Verbundausbildung iSv. § 10 Abs. 5 BBiG nicht kompensiert werden, wenn nicht geregelt ist, für welchen Ausbildungsabschnitt das andere Verbundunternehmen statt des ausbildenden Unternehmens die Verantwortlichkeit trägt, und wenn nicht in dem anderen Verbundunternehmen ein insoweit fachlich geeigneter weiterer Ausbilder für das Ausbildungsverhältnis bestellt ist.</w:t>
      </w:r>
    </w:p>
    <w:p w:rsidR="00C603C8" w:rsidRPr="0012066A" w:rsidRDefault="00C603C8" w:rsidP="0012066A">
      <w:pPr>
        <w:jc w:val="both"/>
        <w:rPr>
          <w:rFonts w:ascii="Arial" w:hAnsi="Arial" w:cs="Arial"/>
          <w:sz w:val="20"/>
          <w:szCs w:val="20"/>
        </w:rPr>
      </w:pPr>
    </w:p>
    <w:p w:rsidR="0012066A" w:rsidRDefault="00FC4272" w:rsidP="0012066A">
      <w:pPr>
        <w:jc w:val="both"/>
        <w:rPr>
          <w:rFonts w:ascii="Arial" w:hAnsi="Arial" w:cs="Arial"/>
          <w:sz w:val="20"/>
          <w:szCs w:val="20"/>
        </w:rPr>
      </w:pPr>
      <w:r w:rsidRPr="0012066A">
        <w:rPr>
          <w:rFonts w:ascii="Arial" w:hAnsi="Arial" w:cs="Arial"/>
          <w:sz w:val="20"/>
          <w:szCs w:val="20"/>
        </w:rPr>
        <w:t>5. Eine Vernachlässigung der Aufgaben einer mit der Durchführung der betrieblichen Berufsbildung beauftragten Person iSv. § 98 Abs. 2 BetrVG liegt vor, wenn der Aufgabenträger seine Aufgaben nicht mit der erforderlichen Gewissenhaftigkeit ausführt und deshalb zu befürchten ist, dass die Auszubildenden das Ziel der Ausbildung nicht erreichen, ohne dass es auf Verschulden des Aufgabenträgers ankommt.</w:t>
      </w:r>
    </w:p>
    <w:p w:rsidR="00C603C8" w:rsidRPr="0012066A" w:rsidRDefault="00C603C8" w:rsidP="0012066A">
      <w:pPr>
        <w:jc w:val="both"/>
        <w:rPr>
          <w:rFonts w:ascii="Arial" w:hAnsi="Arial" w:cs="Arial"/>
          <w:sz w:val="20"/>
          <w:szCs w:val="20"/>
        </w:rPr>
      </w:pPr>
    </w:p>
    <w:p w:rsidR="0012066A" w:rsidRDefault="00FC4272" w:rsidP="0012066A">
      <w:pPr>
        <w:jc w:val="both"/>
        <w:rPr>
          <w:rFonts w:ascii="Arial" w:hAnsi="Arial" w:cs="Arial"/>
          <w:sz w:val="20"/>
          <w:szCs w:val="20"/>
        </w:rPr>
      </w:pPr>
      <w:r w:rsidRPr="0012066A">
        <w:rPr>
          <w:rFonts w:ascii="Arial" w:hAnsi="Arial" w:cs="Arial"/>
          <w:sz w:val="20"/>
          <w:szCs w:val="20"/>
        </w:rPr>
        <w:t>6. Der Tatbestand der Vernachlässigung der Aufgaben eines Ausbilders iSv. § 98 Abs. 2 BetrVG ist zu bejahen, wenn der Ausbilder ohne sachlich vertretbaren Grund von einem vorhandenen betrieblichen Ausbildungsplan abweicht oder wenn er seiner Tätigkeit keinen vollständigen, nachvollziehbaren Ausbildungsplan zugrundelegt und nicht nachweisbar ist, dass aus besonderen Gründen kein Plan erforderlich war, um das Ausbildungsziel in der vorgesehenen Ausbildungszeit zu erreichen.</w:t>
      </w:r>
    </w:p>
    <w:p w:rsidR="00C603C8" w:rsidRPr="0012066A" w:rsidRDefault="00C603C8" w:rsidP="0012066A">
      <w:pPr>
        <w:jc w:val="both"/>
        <w:rPr>
          <w:rFonts w:ascii="Arial" w:hAnsi="Arial" w:cs="Arial"/>
          <w:sz w:val="20"/>
          <w:szCs w:val="20"/>
        </w:rPr>
      </w:pPr>
    </w:p>
    <w:p w:rsidR="00FC4272" w:rsidRPr="0012066A" w:rsidRDefault="00FC4272" w:rsidP="0012066A">
      <w:pPr>
        <w:jc w:val="both"/>
        <w:rPr>
          <w:rFonts w:ascii="Arial" w:hAnsi="Arial" w:cs="Arial"/>
          <w:sz w:val="20"/>
          <w:szCs w:val="20"/>
        </w:rPr>
      </w:pPr>
      <w:r w:rsidRPr="0012066A">
        <w:rPr>
          <w:rFonts w:ascii="Arial" w:hAnsi="Arial" w:cs="Arial"/>
          <w:sz w:val="20"/>
          <w:szCs w:val="20"/>
        </w:rPr>
        <w:t>7. Allein der Umstand, dass in einem Betrieb bisher alle Auszubildenden die Prüfung überhaupt bestanden haben, schließt nicht aus, dass eine das Ausbildungsziel gefährdende Vernachlässigung der Aufgaben des Ausbilders iSv § 98 Abs. 2 BetrVG vorliegt.</w:t>
      </w:r>
    </w:p>
    <w:p w:rsidR="0012066A" w:rsidRPr="0012066A" w:rsidRDefault="0012066A" w:rsidP="0012066A">
      <w:pPr>
        <w:jc w:val="both"/>
        <w:rPr>
          <w:rFonts w:ascii="Arial" w:hAnsi="Arial" w:cs="Arial"/>
          <w:color w:val="002060"/>
          <w:sz w:val="20"/>
          <w:szCs w:val="20"/>
        </w:rPr>
      </w:pPr>
    </w:p>
    <w:p w:rsidR="00FC4272" w:rsidRPr="0012066A" w:rsidRDefault="00FC4272" w:rsidP="0012066A">
      <w:pPr>
        <w:jc w:val="both"/>
        <w:rPr>
          <w:rFonts w:ascii="Arial" w:hAnsi="Arial" w:cs="Arial"/>
          <w:b/>
          <w:bCs/>
          <w:color w:val="002060"/>
          <w:sz w:val="16"/>
          <w:szCs w:val="16"/>
          <w:u w:val="single"/>
        </w:rPr>
      </w:pPr>
      <w:r w:rsidRPr="0012066A">
        <w:rPr>
          <w:rFonts w:ascii="Arial" w:hAnsi="Arial" w:cs="Arial"/>
          <w:b/>
          <w:bCs/>
          <w:color w:val="002060"/>
          <w:sz w:val="16"/>
          <w:szCs w:val="16"/>
          <w:u w:val="single"/>
        </w:rPr>
        <w:t xml:space="preserve">Siehe: </w:t>
      </w:r>
    </w:p>
    <w:p w:rsidR="00FC4272" w:rsidRPr="0012066A" w:rsidRDefault="00FC4272" w:rsidP="0012066A">
      <w:pPr>
        <w:jc w:val="both"/>
        <w:rPr>
          <w:rFonts w:ascii="Arial" w:hAnsi="Arial" w:cs="Arial"/>
          <w:sz w:val="20"/>
          <w:szCs w:val="20"/>
        </w:rPr>
      </w:pPr>
      <w:hyperlink r:id="rId7" w:history="1">
        <w:r w:rsidRPr="0012066A">
          <w:rPr>
            <w:rStyle w:val="Hyperlink"/>
            <w:rFonts w:ascii="Arial" w:hAnsi="Arial" w:cs="Arial"/>
            <w:sz w:val="16"/>
            <w:szCs w:val="16"/>
          </w:rPr>
          <w:t>http://lrbw.juris.de/cgi-bin/laender_rechtsprechung/document.py?Gericht=bw&amp;GerichtAuswahl=Arbeitsgerichte&amp;Art=en&amp;Datum=2017&amp;Seite=0&amp;nr=22863&amp;pos=1&amp;anz=48</w:t>
        </w:r>
      </w:hyperlink>
    </w:p>
    <w:p w:rsidR="00FC4272" w:rsidRPr="0012066A" w:rsidRDefault="00FC4272" w:rsidP="0012066A">
      <w:pPr>
        <w:jc w:val="both"/>
        <w:rPr>
          <w:rFonts w:ascii="Arial" w:hAnsi="Arial" w:cs="Arial"/>
          <w:sz w:val="20"/>
          <w:szCs w:val="20"/>
        </w:rPr>
      </w:pPr>
    </w:p>
    <w:p w:rsidR="00FC4272" w:rsidRDefault="0012066A" w:rsidP="0012066A">
      <w:pPr>
        <w:jc w:val="center"/>
        <w:rPr>
          <w:rFonts w:ascii="Arial" w:hAnsi="Arial" w:cs="Arial"/>
          <w:b/>
          <w:sz w:val="20"/>
          <w:szCs w:val="20"/>
        </w:rPr>
      </w:pPr>
      <w:r w:rsidRPr="0012066A">
        <w:rPr>
          <w:rFonts w:ascii="Arial" w:hAnsi="Arial" w:cs="Arial"/>
          <w:b/>
          <w:sz w:val="20"/>
          <w:szCs w:val="20"/>
        </w:rPr>
        <w:t>VIII.</w:t>
      </w:r>
    </w:p>
    <w:p w:rsidR="0012066A" w:rsidRPr="0012066A" w:rsidRDefault="0012066A" w:rsidP="0012066A">
      <w:pPr>
        <w:pStyle w:val="StandardWeb"/>
        <w:spacing w:before="0" w:beforeAutospacing="0" w:after="0" w:afterAutospacing="0"/>
        <w:ind w:left="720"/>
        <w:jc w:val="center"/>
        <w:rPr>
          <w:rFonts w:ascii="Arial" w:hAnsi="Arial" w:cs="Arial"/>
          <w:b/>
          <w:sz w:val="20"/>
          <w:szCs w:val="20"/>
        </w:rPr>
      </w:pPr>
      <w:r w:rsidRPr="0012066A">
        <w:rPr>
          <w:rFonts w:ascii="Arial" w:hAnsi="Arial" w:cs="Arial"/>
          <w:b/>
          <w:sz w:val="20"/>
          <w:szCs w:val="20"/>
        </w:rPr>
        <w:t>Versetzung-unbillige Weisung-Verbindlichkeit für den Arbeitnehmer</w:t>
      </w:r>
    </w:p>
    <w:p w:rsidR="0012066A" w:rsidRDefault="0012066A" w:rsidP="0012066A">
      <w:pPr>
        <w:jc w:val="center"/>
        <w:rPr>
          <w:rFonts w:ascii="Arial" w:hAnsi="Arial" w:cs="Arial"/>
          <w:sz w:val="20"/>
          <w:szCs w:val="20"/>
        </w:rPr>
      </w:pPr>
      <w:r w:rsidRPr="0012066A">
        <w:rPr>
          <w:rFonts w:ascii="Arial" w:hAnsi="Arial" w:cs="Arial"/>
          <w:sz w:val="20"/>
          <w:szCs w:val="20"/>
        </w:rPr>
        <w:t>BAG, Urteil vom 18. Oktober 2017</w:t>
      </w:r>
      <w:r>
        <w:rPr>
          <w:rFonts w:ascii="Arial" w:hAnsi="Arial" w:cs="Arial"/>
          <w:sz w:val="20"/>
          <w:szCs w:val="20"/>
        </w:rPr>
        <w:t>, Az. 10 AZR 330/16</w:t>
      </w:r>
    </w:p>
    <w:p w:rsidR="0012066A" w:rsidRDefault="0012066A" w:rsidP="0012066A">
      <w:pPr>
        <w:jc w:val="both"/>
        <w:rPr>
          <w:rFonts w:ascii="Arial" w:hAnsi="Arial" w:cs="Arial"/>
          <w:sz w:val="20"/>
          <w:szCs w:val="20"/>
        </w:rPr>
      </w:pPr>
    </w:p>
    <w:p w:rsidR="0012066A" w:rsidRPr="0012066A" w:rsidRDefault="0012066A" w:rsidP="0012066A">
      <w:pPr>
        <w:pStyle w:val="StandardWeb"/>
        <w:spacing w:before="0" w:beforeAutospacing="0" w:after="0" w:afterAutospacing="0"/>
        <w:jc w:val="both"/>
        <w:rPr>
          <w:rFonts w:ascii="Arial" w:hAnsi="Arial" w:cs="Arial"/>
          <w:sz w:val="20"/>
          <w:szCs w:val="20"/>
        </w:rPr>
      </w:pPr>
      <w:r w:rsidRPr="0012066A">
        <w:rPr>
          <w:rFonts w:ascii="Arial" w:hAnsi="Arial" w:cs="Arial"/>
          <w:sz w:val="20"/>
          <w:szCs w:val="20"/>
        </w:rPr>
        <w:t xml:space="preserve">Ein Arbeitnehmer ist nach </w:t>
      </w:r>
      <w:hyperlink r:id="rId8" w:history="1">
        <w:r w:rsidRPr="0012066A">
          <w:rPr>
            <w:rStyle w:val="Hyperlink"/>
            <w:rFonts w:ascii="Arial" w:hAnsi="Arial" w:cs="Arial"/>
            <w:color w:val="auto"/>
            <w:sz w:val="20"/>
            <w:szCs w:val="20"/>
            <w:u w:val="none"/>
          </w:rPr>
          <w:t>§ 106 Satz 1 GewO</w:t>
        </w:r>
      </w:hyperlink>
      <w:r w:rsidRPr="0012066A">
        <w:rPr>
          <w:rFonts w:ascii="Arial" w:hAnsi="Arial" w:cs="Arial"/>
          <w:sz w:val="20"/>
          <w:szCs w:val="20"/>
        </w:rPr>
        <w:t xml:space="preserve">, </w:t>
      </w:r>
      <w:hyperlink r:id="rId9" w:history="1">
        <w:r w:rsidRPr="0012066A">
          <w:rPr>
            <w:rStyle w:val="Hyperlink"/>
            <w:rFonts w:ascii="Arial" w:hAnsi="Arial" w:cs="Arial"/>
            <w:color w:val="auto"/>
            <w:sz w:val="20"/>
            <w:szCs w:val="20"/>
            <w:u w:val="none"/>
          </w:rPr>
          <w:t>§ 315 BGB</w:t>
        </w:r>
      </w:hyperlink>
      <w:r w:rsidRPr="0012066A">
        <w:rPr>
          <w:rFonts w:ascii="Arial" w:hAnsi="Arial" w:cs="Arial"/>
          <w:sz w:val="20"/>
          <w:szCs w:val="20"/>
        </w:rPr>
        <w:t xml:space="preserve"> nicht - auch nicht vorläufig</w:t>
      </w:r>
      <w:r>
        <w:rPr>
          <w:rFonts w:ascii="Arial" w:hAnsi="Arial" w:cs="Arial"/>
          <w:sz w:val="20"/>
          <w:szCs w:val="20"/>
        </w:rPr>
        <w:t xml:space="preserve"> </w:t>
      </w:r>
      <w:r w:rsidRPr="0012066A">
        <w:rPr>
          <w:rFonts w:ascii="Arial" w:hAnsi="Arial" w:cs="Arial"/>
          <w:sz w:val="20"/>
          <w:szCs w:val="20"/>
        </w:rPr>
        <w:t>- an eine Weisung des Arbeitgebers gebunden, die die Grenzen billigen Ermessens nicht wahrt (unbillige Weisung).</w:t>
      </w:r>
    </w:p>
    <w:p w:rsidR="0012066A" w:rsidRDefault="0012066A" w:rsidP="0012066A">
      <w:pPr>
        <w:jc w:val="both"/>
        <w:rPr>
          <w:rFonts w:ascii="Arial" w:hAnsi="Arial" w:cs="Arial"/>
          <w:b/>
          <w:sz w:val="20"/>
          <w:szCs w:val="20"/>
        </w:rPr>
      </w:pPr>
    </w:p>
    <w:p w:rsidR="0012066A" w:rsidRDefault="0012066A" w:rsidP="0012066A">
      <w:pPr>
        <w:jc w:val="center"/>
        <w:rPr>
          <w:rFonts w:ascii="Arial" w:hAnsi="Arial" w:cs="Arial"/>
          <w:b/>
          <w:sz w:val="20"/>
          <w:szCs w:val="20"/>
        </w:rPr>
      </w:pPr>
      <w:r>
        <w:rPr>
          <w:rFonts w:ascii="Arial" w:hAnsi="Arial" w:cs="Arial"/>
          <w:b/>
          <w:sz w:val="20"/>
          <w:szCs w:val="20"/>
        </w:rPr>
        <w:t>IX.</w:t>
      </w:r>
    </w:p>
    <w:p w:rsidR="0012066A" w:rsidRPr="0012066A" w:rsidRDefault="0012066A" w:rsidP="0012066A">
      <w:pPr>
        <w:jc w:val="center"/>
        <w:rPr>
          <w:rFonts w:ascii="Arial" w:hAnsi="Arial" w:cs="Arial"/>
          <w:b/>
          <w:sz w:val="20"/>
          <w:szCs w:val="20"/>
        </w:rPr>
      </w:pPr>
    </w:p>
    <w:p w:rsidR="00FC4272" w:rsidRDefault="0012066A" w:rsidP="0012066A">
      <w:pPr>
        <w:jc w:val="center"/>
        <w:rPr>
          <w:rFonts w:ascii="Arial" w:hAnsi="Arial" w:cs="Arial"/>
          <w:sz w:val="20"/>
          <w:szCs w:val="20"/>
        </w:rPr>
      </w:pPr>
      <w:r w:rsidRPr="0012066A">
        <w:rPr>
          <w:rFonts w:ascii="Arial" w:hAnsi="Arial" w:cs="Arial"/>
          <w:sz w:val="20"/>
          <w:szCs w:val="20"/>
        </w:rPr>
        <w:t>BGH, Urteil vom 10. Oktober 2017</w:t>
      </w:r>
      <w:r>
        <w:rPr>
          <w:rFonts w:ascii="Arial" w:hAnsi="Arial" w:cs="Arial"/>
          <w:sz w:val="20"/>
          <w:szCs w:val="20"/>
        </w:rPr>
        <w:t>, Az.</w:t>
      </w:r>
      <w:r w:rsidRPr="0012066A">
        <w:rPr>
          <w:rFonts w:ascii="Arial" w:hAnsi="Arial" w:cs="Arial"/>
          <w:sz w:val="20"/>
          <w:szCs w:val="20"/>
        </w:rPr>
        <w:t xml:space="preserve"> XI ZR 443/16</w:t>
      </w:r>
    </w:p>
    <w:p w:rsidR="0012066A" w:rsidRDefault="0012066A" w:rsidP="0012066A">
      <w:pPr>
        <w:pStyle w:val="StandardWeb"/>
        <w:spacing w:before="0" w:beforeAutospacing="0" w:after="0" w:afterAutospacing="0"/>
        <w:jc w:val="both"/>
        <w:rPr>
          <w:rFonts w:ascii="Arial" w:hAnsi="Arial" w:cs="Arial"/>
          <w:sz w:val="20"/>
          <w:szCs w:val="20"/>
        </w:rPr>
      </w:pPr>
    </w:p>
    <w:p w:rsidR="0012066A" w:rsidRPr="0012066A" w:rsidRDefault="0012066A" w:rsidP="0012066A">
      <w:pPr>
        <w:pStyle w:val="StandardWeb"/>
        <w:spacing w:before="0" w:beforeAutospacing="0" w:after="0" w:afterAutospacing="0"/>
        <w:jc w:val="both"/>
        <w:rPr>
          <w:rFonts w:ascii="Arial" w:hAnsi="Arial" w:cs="Arial"/>
          <w:sz w:val="20"/>
          <w:szCs w:val="20"/>
        </w:rPr>
      </w:pPr>
      <w:r w:rsidRPr="0012066A">
        <w:rPr>
          <w:rFonts w:ascii="Arial" w:hAnsi="Arial" w:cs="Arial"/>
          <w:sz w:val="20"/>
          <w:szCs w:val="20"/>
        </w:rPr>
        <w:t xml:space="preserve">Eine formal und inhaltlich den gesetzlichen Anforderungen genügende Widerrufsbelehrung wird nicht dadurch undeutlich, dass die Vertragsunterlagen an anderer, drucktechnisch nicht hervorgehobener Stelle einen inhaltlich nicht ordnungsgemäßen Zusatz enthalten (Anschluss an </w:t>
      </w:r>
      <w:hyperlink r:id="rId10" w:history="1">
        <w:r w:rsidRPr="0012066A">
          <w:rPr>
            <w:rStyle w:val="Hyperlink"/>
            <w:rFonts w:ascii="Arial" w:hAnsi="Arial" w:cs="Arial"/>
            <w:color w:val="auto"/>
            <w:sz w:val="20"/>
            <w:szCs w:val="20"/>
            <w:u w:val="none"/>
          </w:rPr>
          <w:t>BGH, Urteil vom 16. Dezember 2015, IV ZR 71/14</w:t>
        </w:r>
      </w:hyperlink>
      <w:r w:rsidRPr="0012066A">
        <w:rPr>
          <w:rFonts w:ascii="Arial" w:hAnsi="Arial" w:cs="Arial"/>
          <w:sz w:val="20"/>
          <w:szCs w:val="20"/>
        </w:rPr>
        <w:t xml:space="preserve">, juris </w:t>
      </w:r>
      <w:hyperlink r:id="rId11" w:history="1">
        <w:r w:rsidRPr="0012066A">
          <w:rPr>
            <w:rStyle w:val="Hyperlink"/>
            <w:rFonts w:ascii="Arial" w:hAnsi="Arial" w:cs="Arial"/>
            <w:color w:val="auto"/>
            <w:sz w:val="20"/>
            <w:szCs w:val="20"/>
            <w:u w:val="none"/>
          </w:rPr>
          <w:t>Rn. 11</w:t>
        </w:r>
      </w:hyperlink>
      <w:r w:rsidRPr="0012066A">
        <w:rPr>
          <w:rFonts w:ascii="Arial" w:hAnsi="Arial" w:cs="Arial"/>
          <w:sz w:val="20"/>
          <w:szCs w:val="20"/>
        </w:rPr>
        <w:t>).</w:t>
      </w:r>
    </w:p>
    <w:p w:rsidR="0012066A" w:rsidRPr="0012066A" w:rsidRDefault="0012066A" w:rsidP="0012066A">
      <w:pPr>
        <w:jc w:val="center"/>
        <w:rPr>
          <w:rFonts w:ascii="Arial" w:hAnsi="Arial" w:cs="Arial"/>
          <w:sz w:val="20"/>
          <w:szCs w:val="20"/>
        </w:rPr>
      </w:pPr>
    </w:p>
    <w:p w:rsidR="0012066A" w:rsidRDefault="00C603C8" w:rsidP="00C603C8">
      <w:pPr>
        <w:jc w:val="center"/>
        <w:rPr>
          <w:rFonts w:ascii="Arial" w:hAnsi="Arial" w:cs="Arial"/>
          <w:b/>
          <w:sz w:val="20"/>
          <w:szCs w:val="20"/>
        </w:rPr>
      </w:pPr>
      <w:r w:rsidRPr="00C603C8">
        <w:rPr>
          <w:rFonts w:ascii="Arial" w:hAnsi="Arial" w:cs="Arial"/>
          <w:b/>
          <w:sz w:val="20"/>
          <w:szCs w:val="20"/>
        </w:rPr>
        <w:t>X.</w:t>
      </w:r>
    </w:p>
    <w:p w:rsidR="00C603C8" w:rsidRPr="00C603C8" w:rsidRDefault="00C603C8" w:rsidP="00C603C8">
      <w:pPr>
        <w:pStyle w:val="StandardWeb"/>
        <w:spacing w:before="0" w:beforeAutospacing="0" w:after="0" w:afterAutospacing="0"/>
        <w:ind w:left="720"/>
        <w:jc w:val="center"/>
        <w:rPr>
          <w:rFonts w:ascii="Arial" w:hAnsi="Arial" w:cs="Arial"/>
          <w:b/>
          <w:sz w:val="20"/>
          <w:szCs w:val="20"/>
        </w:rPr>
      </w:pPr>
      <w:r w:rsidRPr="00C603C8">
        <w:rPr>
          <w:rFonts w:ascii="Arial" w:hAnsi="Arial" w:cs="Arial"/>
          <w:b/>
          <w:sz w:val="20"/>
          <w:szCs w:val="20"/>
        </w:rPr>
        <w:t>Kumulierung von Umsatz und Vergnügungssteuer für Geldspielgeräte</w:t>
      </w:r>
    </w:p>
    <w:p w:rsidR="0012066A" w:rsidRPr="0012066A" w:rsidRDefault="00C603C8" w:rsidP="00C603C8">
      <w:pPr>
        <w:jc w:val="center"/>
        <w:rPr>
          <w:rFonts w:ascii="Arial" w:hAnsi="Arial" w:cs="Arial"/>
          <w:sz w:val="20"/>
          <w:szCs w:val="20"/>
        </w:rPr>
      </w:pPr>
      <w:r w:rsidRPr="0012066A">
        <w:rPr>
          <w:rFonts w:ascii="Arial" w:hAnsi="Arial" w:cs="Arial"/>
          <w:sz w:val="20"/>
          <w:szCs w:val="20"/>
        </w:rPr>
        <w:t>Oberverwaltungsgericht Land Nordrhein-Westfalen</w:t>
      </w:r>
      <w:r>
        <w:rPr>
          <w:rFonts w:ascii="Arial" w:hAnsi="Arial" w:cs="Arial"/>
          <w:sz w:val="20"/>
          <w:szCs w:val="20"/>
        </w:rPr>
        <w:t xml:space="preserve">, </w:t>
      </w:r>
      <w:r w:rsidRPr="0012066A">
        <w:rPr>
          <w:rFonts w:ascii="Arial" w:hAnsi="Arial" w:cs="Arial"/>
          <w:sz w:val="20"/>
          <w:szCs w:val="20"/>
        </w:rPr>
        <w:t>Beschluss</w:t>
      </w:r>
      <w:r>
        <w:rPr>
          <w:rFonts w:ascii="Arial" w:hAnsi="Arial" w:cs="Arial"/>
          <w:sz w:val="20"/>
          <w:szCs w:val="20"/>
        </w:rPr>
        <w:t xml:space="preserve"> vom </w:t>
      </w:r>
      <w:r w:rsidRPr="0012066A">
        <w:rPr>
          <w:rFonts w:ascii="Arial" w:hAnsi="Arial" w:cs="Arial"/>
          <w:sz w:val="20"/>
          <w:szCs w:val="20"/>
        </w:rPr>
        <w:t>05.10.2017</w:t>
      </w:r>
      <w:r>
        <w:rPr>
          <w:rFonts w:ascii="Arial" w:hAnsi="Arial" w:cs="Arial"/>
          <w:sz w:val="20"/>
          <w:szCs w:val="20"/>
        </w:rPr>
        <w:t>, Az. 14 A 2469/16</w:t>
      </w:r>
    </w:p>
    <w:p w:rsidR="00FC4272" w:rsidRDefault="00FC4272" w:rsidP="0012066A">
      <w:pPr>
        <w:jc w:val="both"/>
        <w:rPr>
          <w:rFonts w:ascii="Arial" w:hAnsi="Arial" w:cs="Arial"/>
          <w:sz w:val="20"/>
          <w:szCs w:val="20"/>
        </w:rPr>
      </w:pPr>
    </w:p>
    <w:p w:rsidR="00C603C8" w:rsidRPr="00C603C8" w:rsidRDefault="00C603C8" w:rsidP="00C603C8">
      <w:pPr>
        <w:pStyle w:val="StandardWeb"/>
        <w:spacing w:before="0" w:beforeAutospacing="0" w:after="0" w:afterAutospacing="0"/>
        <w:jc w:val="both"/>
        <w:rPr>
          <w:rFonts w:ascii="Arial" w:hAnsi="Arial" w:cs="Arial"/>
          <w:sz w:val="20"/>
          <w:szCs w:val="20"/>
        </w:rPr>
      </w:pPr>
      <w:r w:rsidRPr="00C603C8">
        <w:rPr>
          <w:rFonts w:ascii="Arial" w:hAnsi="Arial" w:cs="Arial"/>
          <w:sz w:val="20"/>
          <w:szCs w:val="20"/>
        </w:rPr>
        <w:t>1. Die nach dem Einspielergebnis bemessene Vergnügungssteuer hat nicht den Charakter von Umsatzsteuern i.S. von Art. 401 der Mehrwertsteuersystemrichtlinie (</w:t>
      </w:r>
      <w:hyperlink r:id="rId12" w:history="1">
        <w:r w:rsidRPr="00C603C8">
          <w:rPr>
            <w:rStyle w:val="Hyperlink"/>
            <w:rFonts w:ascii="Arial" w:hAnsi="Arial" w:cs="Arial"/>
            <w:color w:val="auto"/>
            <w:sz w:val="20"/>
            <w:szCs w:val="20"/>
            <w:u w:val="none"/>
          </w:rPr>
          <w:t>Richtlinie 2006/112/EG</w:t>
        </w:r>
      </w:hyperlink>
      <w:r w:rsidRPr="00C603C8">
        <w:rPr>
          <w:rFonts w:ascii="Arial" w:hAnsi="Arial" w:cs="Arial"/>
          <w:sz w:val="20"/>
          <w:szCs w:val="20"/>
        </w:rPr>
        <w:t xml:space="preserve"> des Rates vom 28.11.2006) (juris: </w:t>
      </w:r>
      <w:hyperlink r:id="rId13" w:history="1">
        <w:r w:rsidRPr="00C603C8">
          <w:rPr>
            <w:rStyle w:val="Hyperlink"/>
            <w:rFonts w:ascii="Arial" w:hAnsi="Arial" w:cs="Arial"/>
            <w:color w:val="auto"/>
            <w:sz w:val="20"/>
            <w:szCs w:val="20"/>
            <w:u w:val="none"/>
          </w:rPr>
          <w:t>EGRL 112/2006</w:t>
        </w:r>
      </w:hyperlink>
      <w:r w:rsidRPr="00C603C8">
        <w:rPr>
          <w:rFonts w:ascii="Arial" w:hAnsi="Arial" w:cs="Arial"/>
          <w:sz w:val="20"/>
          <w:szCs w:val="20"/>
        </w:rPr>
        <w:t>).</w:t>
      </w:r>
      <w:hyperlink r:id="rId14" w:history="1">
        <w:r w:rsidRPr="00C603C8">
          <w:rPr>
            <w:rStyle w:val="Hyperlink"/>
            <w:rFonts w:ascii="Arial" w:hAnsi="Arial" w:cs="Arial"/>
            <w:color w:val="auto"/>
            <w:sz w:val="20"/>
            <w:szCs w:val="20"/>
            <w:u w:val="none"/>
          </w:rPr>
          <w:t>(Rn.3)</w:t>
        </w:r>
      </w:hyperlink>
    </w:p>
    <w:p w:rsidR="00C603C8" w:rsidRPr="00C603C8" w:rsidRDefault="00C603C8" w:rsidP="00C603C8">
      <w:pPr>
        <w:pStyle w:val="StandardWeb"/>
        <w:spacing w:before="0" w:beforeAutospacing="0" w:after="0" w:afterAutospacing="0"/>
        <w:jc w:val="both"/>
        <w:rPr>
          <w:rFonts w:ascii="Arial" w:hAnsi="Arial" w:cs="Arial"/>
          <w:sz w:val="20"/>
          <w:szCs w:val="20"/>
        </w:rPr>
      </w:pPr>
      <w:r w:rsidRPr="00C603C8">
        <w:rPr>
          <w:rFonts w:ascii="Arial" w:hAnsi="Arial" w:cs="Arial"/>
          <w:sz w:val="20"/>
          <w:szCs w:val="20"/>
        </w:rPr>
        <w:t>2. Umsatz- und Vergnügungssteuer dürfen kumulativ erhoben werden.</w:t>
      </w:r>
      <w:hyperlink r:id="rId15" w:history="1">
        <w:r w:rsidRPr="00C603C8">
          <w:rPr>
            <w:rStyle w:val="Hyperlink"/>
            <w:rFonts w:ascii="Arial" w:hAnsi="Arial" w:cs="Arial"/>
            <w:color w:val="auto"/>
            <w:sz w:val="20"/>
            <w:szCs w:val="20"/>
            <w:u w:val="none"/>
          </w:rPr>
          <w:t>(Rn.5)</w:t>
        </w:r>
      </w:hyperlink>
    </w:p>
    <w:p w:rsidR="00C603C8" w:rsidRPr="0012066A" w:rsidRDefault="00C603C8" w:rsidP="00C603C8">
      <w:pPr>
        <w:jc w:val="both"/>
        <w:rPr>
          <w:rFonts w:ascii="Arial" w:hAnsi="Arial" w:cs="Arial"/>
          <w:sz w:val="20"/>
          <w:szCs w:val="20"/>
        </w:rPr>
      </w:pPr>
    </w:p>
    <w:p w:rsidR="00C603C8" w:rsidRDefault="00C603C8" w:rsidP="0012066A">
      <w:pPr>
        <w:jc w:val="both"/>
        <w:rPr>
          <w:rFonts w:ascii="Arial" w:hAnsi="Arial" w:cs="Arial"/>
          <w:sz w:val="20"/>
          <w:szCs w:val="20"/>
        </w:rPr>
      </w:pP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Für Rückfragen stehe ich Ihnen gerne zur Verfügung.</w:t>
      </w:r>
    </w:p>
    <w:p w:rsidR="00C603C8" w:rsidRPr="00C603C8" w:rsidRDefault="00C603C8" w:rsidP="00C603C8">
      <w:pPr>
        <w:rPr>
          <w:rFonts w:ascii="Arial" w:hAnsi="Arial"/>
          <w:sz w:val="20"/>
          <w:szCs w:val="20"/>
          <w:lang w:eastAsia="en-US"/>
        </w:rPr>
      </w:pP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Michael Henn</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Rechtsanwalt</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Fachanwalt für Erbrecht</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 xml:space="preserve">Fachanwalt für Arbeitsrecht </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 xml:space="preserve">Schriftleiter mittelstandsdepesche </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Rechtsanwälte Dr. Gaupp &amp; Coll.</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 xml:space="preserve">Kronprinzstr. 14 </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70173 Stuttgart</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Tel.: 0711/ 30 58 93-0</w:t>
      </w:r>
      <w:r w:rsidRPr="00C603C8">
        <w:rPr>
          <w:rFonts w:ascii="Arial" w:hAnsi="Arial"/>
          <w:sz w:val="20"/>
          <w:szCs w:val="20"/>
          <w:lang w:eastAsia="en-US"/>
        </w:rPr>
        <w:tab/>
      </w:r>
      <w:r w:rsidRPr="00C603C8">
        <w:rPr>
          <w:rFonts w:ascii="Arial" w:hAnsi="Arial"/>
          <w:sz w:val="20"/>
          <w:szCs w:val="20"/>
          <w:lang w:eastAsia="en-US"/>
        </w:rPr>
        <w:tab/>
        <w:t>Fax: 0711/ 30 58 93-11</w:t>
      </w:r>
    </w:p>
    <w:p w:rsidR="00C603C8" w:rsidRPr="00C603C8" w:rsidRDefault="00C603C8" w:rsidP="00C603C8">
      <w:pPr>
        <w:rPr>
          <w:rFonts w:ascii="Arial" w:hAnsi="Arial"/>
          <w:sz w:val="20"/>
          <w:szCs w:val="20"/>
          <w:lang w:eastAsia="en-US"/>
        </w:rPr>
      </w:pPr>
      <w:r w:rsidRPr="00C603C8">
        <w:rPr>
          <w:rFonts w:ascii="Arial" w:hAnsi="Arial"/>
          <w:sz w:val="20"/>
          <w:szCs w:val="20"/>
          <w:lang w:eastAsia="en-US"/>
        </w:rPr>
        <w:t>e-Mail: henn@drgaupp.de</w:t>
      </w:r>
      <w:r w:rsidRPr="00C603C8">
        <w:rPr>
          <w:rFonts w:ascii="Arial" w:hAnsi="Arial"/>
          <w:sz w:val="20"/>
          <w:szCs w:val="20"/>
          <w:lang w:eastAsia="en-US"/>
        </w:rPr>
        <w:tab/>
        <w:t>www.drgaupp.de</w:t>
      </w:r>
    </w:p>
    <w:p w:rsidR="00C603C8" w:rsidRPr="00C603C8" w:rsidRDefault="00C603C8" w:rsidP="00C603C8">
      <w:pPr>
        <w:rPr>
          <w:rFonts w:ascii="Arial" w:hAnsi="Arial"/>
          <w:sz w:val="20"/>
          <w:szCs w:val="20"/>
          <w:lang w:eastAsia="en-US"/>
        </w:rPr>
      </w:pPr>
    </w:p>
    <w:p w:rsidR="00C603C8" w:rsidRPr="00C603C8" w:rsidRDefault="00C603C8" w:rsidP="00C603C8">
      <w:pPr>
        <w:rPr>
          <w:rFonts w:ascii="Arial" w:hAnsi="Arial"/>
          <w:sz w:val="20"/>
          <w:szCs w:val="20"/>
          <w:lang w:eastAsia="en-US"/>
        </w:rPr>
      </w:pPr>
    </w:p>
    <w:p w:rsidR="00C603C8" w:rsidRPr="00C603C8" w:rsidRDefault="00C603C8" w:rsidP="00C603C8">
      <w:pPr>
        <w:rPr>
          <w:rFonts w:ascii="Arial" w:hAnsi="Arial"/>
          <w:sz w:val="20"/>
          <w:szCs w:val="20"/>
          <w:lang w:eastAsia="en-US"/>
        </w:rPr>
      </w:pPr>
    </w:p>
    <w:p w:rsidR="00C603C8" w:rsidRPr="00C603C8" w:rsidRDefault="00C603C8" w:rsidP="00C603C8">
      <w:pPr>
        <w:rPr>
          <w:rFonts w:ascii="Arial" w:hAnsi="Arial" w:cs="Arial"/>
          <w:sz w:val="20"/>
          <w:szCs w:val="20"/>
          <w:lang w:eastAsia="en-US"/>
        </w:rPr>
      </w:pPr>
    </w:p>
    <w:p w:rsidR="00C603C8" w:rsidRDefault="00C603C8" w:rsidP="0012066A">
      <w:pPr>
        <w:jc w:val="both"/>
        <w:rPr>
          <w:rFonts w:ascii="Arial" w:hAnsi="Arial" w:cs="Arial"/>
          <w:sz w:val="20"/>
          <w:szCs w:val="20"/>
        </w:rPr>
      </w:pPr>
    </w:p>
    <w:p w:rsidR="00C603C8" w:rsidRPr="0012066A" w:rsidRDefault="00C603C8" w:rsidP="0012066A">
      <w:pPr>
        <w:jc w:val="both"/>
        <w:rPr>
          <w:rFonts w:ascii="Arial" w:hAnsi="Arial" w:cs="Arial"/>
          <w:sz w:val="20"/>
          <w:szCs w:val="20"/>
        </w:rPr>
      </w:pPr>
    </w:p>
    <w:sectPr w:rsidR="00C603C8" w:rsidRPr="0012066A">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EEE" w:rsidRDefault="003C2EEE" w:rsidP="00D46A08">
      <w:r>
        <w:separator/>
      </w:r>
    </w:p>
  </w:endnote>
  <w:endnote w:type="continuationSeparator" w:id="0">
    <w:p w:rsidR="003C2EEE" w:rsidRDefault="003C2EEE" w:rsidP="00D4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EEE" w:rsidRDefault="003C2EEE" w:rsidP="00D46A08">
      <w:r>
        <w:separator/>
      </w:r>
    </w:p>
  </w:footnote>
  <w:footnote w:type="continuationSeparator" w:id="0">
    <w:p w:rsidR="003C2EEE" w:rsidRDefault="003C2EEE" w:rsidP="00D4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A08" w:rsidRPr="00D46A08" w:rsidRDefault="00D46A08" w:rsidP="00D46A08">
    <w:pPr>
      <w:tabs>
        <w:tab w:val="left" w:pos="2400"/>
        <w:tab w:val="center" w:pos="4536"/>
        <w:tab w:val="right" w:pos="9072"/>
      </w:tabs>
      <w:jc w:val="center"/>
      <w:rPr>
        <w:rFonts w:ascii="Arial" w:hAnsi="Arial" w:cs="Arial"/>
        <w:b/>
        <w:bCs/>
        <w:sz w:val="28"/>
        <w:szCs w:val="28"/>
        <w:lang w:eastAsia="en-US"/>
      </w:rPr>
    </w:pPr>
    <w:r w:rsidRPr="00D46A08">
      <w:rPr>
        <w:rFonts w:ascii="Arial" w:hAnsi="Arial" w:cs="Arial"/>
        <w:b/>
        <w:bCs/>
        <w:sz w:val="28"/>
        <w:szCs w:val="28"/>
        <w:lang w:eastAsia="en-US"/>
      </w:rPr>
      <w:t>mittelstandsdepesche 1</w:t>
    </w:r>
    <w:r>
      <w:rPr>
        <w:rFonts w:ascii="Arial" w:hAnsi="Arial" w:cs="Arial"/>
        <w:b/>
        <w:bCs/>
        <w:sz w:val="28"/>
        <w:szCs w:val="28"/>
        <w:lang w:eastAsia="en-US"/>
      </w:rPr>
      <w:t>1</w:t>
    </w:r>
    <w:r w:rsidRPr="00D46A08">
      <w:rPr>
        <w:rFonts w:ascii="Arial" w:hAnsi="Arial" w:cs="Arial"/>
        <w:b/>
        <w:bCs/>
        <w:sz w:val="28"/>
        <w:szCs w:val="28"/>
        <w:lang w:eastAsia="en-US"/>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2018"/>
    <w:multiLevelType w:val="multilevel"/>
    <w:tmpl w:val="D65A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24D13"/>
    <w:multiLevelType w:val="multilevel"/>
    <w:tmpl w:val="314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76D0D"/>
    <w:multiLevelType w:val="hybridMultilevel"/>
    <w:tmpl w:val="EC2CF036"/>
    <w:lvl w:ilvl="0" w:tplc="31A02E6A">
      <w:start w:val="1"/>
      <w:numFmt w:val="lowerLetter"/>
      <w:lvlText w:val="%1)"/>
      <w:lvlJc w:val="left"/>
      <w:pPr>
        <w:ind w:left="720" w:hanging="360"/>
      </w:pPr>
      <w:rPr>
        <w:rFonts w:ascii="Arial" w:hAnsi="Arial" w:cs="Arial" w:hint="default"/>
        <w:sz w:val="21"/>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5B3A1A5B"/>
    <w:multiLevelType w:val="hybridMultilevel"/>
    <w:tmpl w:val="393E81E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75D663CC"/>
    <w:multiLevelType w:val="multilevel"/>
    <w:tmpl w:val="B5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AD"/>
    <w:rsid w:val="0012066A"/>
    <w:rsid w:val="00120E8E"/>
    <w:rsid w:val="002D5138"/>
    <w:rsid w:val="003C2EEE"/>
    <w:rsid w:val="006260D2"/>
    <w:rsid w:val="006E6006"/>
    <w:rsid w:val="008F78CB"/>
    <w:rsid w:val="009D443A"/>
    <w:rsid w:val="00B736AD"/>
    <w:rsid w:val="00B94A82"/>
    <w:rsid w:val="00C603C8"/>
    <w:rsid w:val="00D32887"/>
    <w:rsid w:val="00D46A08"/>
    <w:rsid w:val="00EC6D5D"/>
    <w:rsid w:val="00F07B04"/>
    <w:rsid w:val="00FC42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633F08-401B-4FD7-82EB-191EFFD0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36AD"/>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FC4272"/>
    <w:pPr>
      <w:keepNext/>
      <w:keepLines/>
      <w:spacing w:before="40"/>
      <w:outlineLvl w:val="1"/>
    </w:pPr>
    <w:rPr>
      <w:rFonts w:asciiTheme="majorHAnsi" w:eastAsiaTheme="majorEastAsia" w:hAnsiTheme="majorHAnsi"/>
      <w:color w:val="2E74B5" w:themeColor="accent1" w:themeShade="BF"/>
      <w:sz w:val="26"/>
      <w:szCs w:val="26"/>
    </w:rPr>
  </w:style>
  <w:style w:type="paragraph" w:styleId="berschrift3">
    <w:name w:val="heading 3"/>
    <w:basedOn w:val="Standard"/>
    <w:link w:val="berschrift3Zchn"/>
    <w:uiPriority w:val="9"/>
    <w:semiHidden/>
    <w:unhideWhenUsed/>
    <w:qFormat/>
    <w:rsid w:val="00B736AD"/>
    <w:pPr>
      <w:spacing w:after="75" w:line="240" w:lineRule="atLeast"/>
      <w:outlineLvl w:val="2"/>
    </w:pPr>
    <w:rPr>
      <w:b/>
      <w:bCs/>
    </w:rPr>
  </w:style>
  <w:style w:type="paragraph" w:styleId="berschrift4">
    <w:name w:val="heading 4"/>
    <w:basedOn w:val="Standard"/>
    <w:link w:val="berschrift4Zchn"/>
    <w:uiPriority w:val="9"/>
    <w:semiHidden/>
    <w:unhideWhenUsed/>
    <w:qFormat/>
    <w:rsid w:val="00B736AD"/>
    <w:pPr>
      <w:spacing w:after="150"/>
      <w:outlineLvl w:val="3"/>
    </w:pPr>
    <w:rPr>
      <w:color w:val="66666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FC4272"/>
    <w:rPr>
      <w:rFonts w:asciiTheme="majorHAnsi" w:eastAsiaTheme="majorEastAsia" w:hAnsiTheme="majorHAnsi" w:cs="Times New Roman"/>
      <w:color w:val="2E74B5" w:themeColor="accent1" w:themeShade="BF"/>
      <w:sz w:val="26"/>
      <w:szCs w:val="26"/>
      <w:lang w:val="x-none" w:eastAsia="de-DE"/>
    </w:rPr>
  </w:style>
  <w:style w:type="character" w:customStyle="1" w:styleId="berschrift3Zchn">
    <w:name w:val="Überschrift 3 Zchn"/>
    <w:basedOn w:val="Absatz-Standardschriftart"/>
    <w:link w:val="berschrift3"/>
    <w:uiPriority w:val="9"/>
    <w:semiHidden/>
    <w:locked/>
    <w:rsid w:val="00B736AD"/>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B736AD"/>
    <w:rPr>
      <w:rFonts w:ascii="Times New Roman" w:hAnsi="Times New Roman" w:cs="Times New Roman"/>
      <w:color w:val="666666"/>
      <w:sz w:val="21"/>
      <w:szCs w:val="21"/>
      <w:lang w:val="x-none" w:eastAsia="de-DE"/>
    </w:rPr>
  </w:style>
  <w:style w:type="paragraph" w:styleId="Listenabsatz">
    <w:name w:val="List Paragraph"/>
    <w:basedOn w:val="Standard"/>
    <w:uiPriority w:val="34"/>
    <w:qFormat/>
    <w:rsid w:val="009D443A"/>
    <w:pPr>
      <w:ind w:left="720"/>
      <w:contextualSpacing/>
    </w:pPr>
  </w:style>
  <w:style w:type="paragraph" w:styleId="Kopfzeile">
    <w:name w:val="header"/>
    <w:basedOn w:val="Standard"/>
    <w:link w:val="KopfzeileZchn"/>
    <w:uiPriority w:val="99"/>
    <w:unhideWhenUsed/>
    <w:rsid w:val="00D46A08"/>
    <w:pPr>
      <w:tabs>
        <w:tab w:val="center" w:pos="4536"/>
        <w:tab w:val="right" w:pos="9072"/>
      </w:tabs>
    </w:pPr>
  </w:style>
  <w:style w:type="character" w:customStyle="1" w:styleId="KopfzeileZchn">
    <w:name w:val="Kopfzeile Zchn"/>
    <w:basedOn w:val="Absatz-Standardschriftart"/>
    <w:link w:val="Kopfzeile"/>
    <w:uiPriority w:val="99"/>
    <w:locked/>
    <w:rsid w:val="00D46A08"/>
    <w:rPr>
      <w:rFonts w:ascii="Times New Roman" w:hAnsi="Times New Roman" w:cs="Times New Roman"/>
      <w:sz w:val="24"/>
      <w:szCs w:val="24"/>
      <w:lang w:val="x-none" w:eastAsia="de-DE"/>
    </w:rPr>
  </w:style>
  <w:style w:type="paragraph" w:styleId="Fuzeile">
    <w:name w:val="footer"/>
    <w:basedOn w:val="Standard"/>
    <w:link w:val="FuzeileZchn"/>
    <w:uiPriority w:val="99"/>
    <w:unhideWhenUsed/>
    <w:rsid w:val="00D46A08"/>
    <w:pPr>
      <w:tabs>
        <w:tab w:val="center" w:pos="4536"/>
        <w:tab w:val="right" w:pos="9072"/>
      </w:tabs>
    </w:pPr>
  </w:style>
  <w:style w:type="character" w:customStyle="1" w:styleId="FuzeileZchn">
    <w:name w:val="Fußzeile Zchn"/>
    <w:basedOn w:val="Absatz-Standardschriftart"/>
    <w:link w:val="Fuzeile"/>
    <w:uiPriority w:val="99"/>
    <w:locked/>
    <w:rsid w:val="00D46A08"/>
    <w:rPr>
      <w:rFonts w:ascii="Times New Roman" w:hAnsi="Times New Roman" w:cs="Times New Roman"/>
      <w:sz w:val="24"/>
      <w:szCs w:val="24"/>
      <w:lang w:val="x-none" w:eastAsia="de-DE"/>
    </w:rPr>
  </w:style>
  <w:style w:type="character" w:styleId="Hyperlink">
    <w:name w:val="Hyperlink"/>
    <w:basedOn w:val="Absatz-Standardschriftart"/>
    <w:uiPriority w:val="99"/>
    <w:semiHidden/>
    <w:unhideWhenUsed/>
    <w:rsid w:val="00FC4272"/>
    <w:rPr>
      <w:rFonts w:cs="Times New Roman"/>
      <w:color w:val="0000FF"/>
      <w:u w:val="single"/>
    </w:rPr>
  </w:style>
  <w:style w:type="character" w:styleId="Fett">
    <w:name w:val="Strong"/>
    <w:basedOn w:val="Absatz-Standardschriftart"/>
    <w:uiPriority w:val="22"/>
    <w:qFormat/>
    <w:rsid w:val="00FC4272"/>
    <w:rPr>
      <w:rFonts w:cs="Times New Roman"/>
      <w:b/>
      <w:bCs/>
    </w:rPr>
  </w:style>
  <w:style w:type="character" w:customStyle="1" w:styleId="doclink">
    <w:name w:val="doclink"/>
    <w:basedOn w:val="Absatz-Standardschriftart"/>
    <w:rsid w:val="00FC4272"/>
    <w:rPr>
      <w:rFonts w:cs="Times New Roman"/>
    </w:rPr>
  </w:style>
  <w:style w:type="paragraph" w:styleId="StandardWeb">
    <w:name w:val="Normal (Web)"/>
    <w:basedOn w:val="Standard"/>
    <w:uiPriority w:val="99"/>
    <w:semiHidden/>
    <w:unhideWhenUsed/>
    <w:rsid w:val="00FC4272"/>
    <w:pPr>
      <w:spacing w:before="100" w:beforeAutospacing="1" w:after="100" w:afterAutospacing="1"/>
    </w:pPr>
  </w:style>
  <w:style w:type="character" w:styleId="BesuchterLink">
    <w:name w:val="FollowedHyperlink"/>
    <w:basedOn w:val="Absatz-Standardschriftart"/>
    <w:uiPriority w:val="99"/>
    <w:semiHidden/>
    <w:unhideWhenUsed/>
    <w:rsid w:val="0012066A"/>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87988">
      <w:marLeft w:val="0"/>
      <w:marRight w:val="0"/>
      <w:marTop w:val="0"/>
      <w:marBottom w:val="0"/>
      <w:divBdr>
        <w:top w:val="none" w:sz="0" w:space="0" w:color="auto"/>
        <w:left w:val="none" w:sz="0" w:space="0" w:color="auto"/>
        <w:bottom w:val="none" w:sz="0" w:space="0" w:color="auto"/>
        <w:right w:val="none" w:sz="0" w:space="0" w:color="auto"/>
      </w:divBdr>
    </w:div>
    <w:div w:id="632488001">
      <w:marLeft w:val="0"/>
      <w:marRight w:val="0"/>
      <w:marTop w:val="0"/>
      <w:marBottom w:val="0"/>
      <w:divBdr>
        <w:top w:val="none" w:sz="0" w:space="0" w:color="auto"/>
        <w:left w:val="none" w:sz="0" w:space="0" w:color="auto"/>
        <w:bottom w:val="none" w:sz="0" w:space="0" w:color="auto"/>
        <w:right w:val="none" w:sz="0" w:space="0" w:color="auto"/>
      </w:divBdr>
      <w:divsChild>
        <w:div w:id="632487996">
          <w:marLeft w:val="0"/>
          <w:marRight w:val="0"/>
          <w:marTop w:val="0"/>
          <w:marBottom w:val="0"/>
          <w:divBdr>
            <w:top w:val="none" w:sz="0" w:space="0" w:color="auto"/>
            <w:left w:val="none" w:sz="0" w:space="0" w:color="auto"/>
            <w:bottom w:val="none" w:sz="0" w:space="0" w:color="auto"/>
            <w:right w:val="none" w:sz="0" w:space="0" w:color="auto"/>
          </w:divBdr>
          <w:divsChild>
            <w:div w:id="632487979">
              <w:marLeft w:val="0"/>
              <w:marRight w:val="0"/>
              <w:marTop w:val="0"/>
              <w:marBottom w:val="0"/>
              <w:divBdr>
                <w:top w:val="none" w:sz="0" w:space="0" w:color="auto"/>
                <w:left w:val="none" w:sz="0" w:space="0" w:color="auto"/>
                <w:bottom w:val="none" w:sz="0" w:space="0" w:color="auto"/>
                <w:right w:val="none" w:sz="0" w:space="0" w:color="auto"/>
              </w:divBdr>
              <w:divsChild>
                <w:div w:id="6324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88008">
          <w:marLeft w:val="0"/>
          <w:marRight w:val="0"/>
          <w:marTop w:val="0"/>
          <w:marBottom w:val="0"/>
          <w:divBdr>
            <w:top w:val="none" w:sz="0" w:space="0" w:color="auto"/>
            <w:left w:val="none" w:sz="0" w:space="0" w:color="auto"/>
            <w:bottom w:val="none" w:sz="0" w:space="0" w:color="auto"/>
            <w:right w:val="none" w:sz="0" w:space="0" w:color="auto"/>
          </w:divBdr>
          <w:divsChild>
            <w:div w:id="632487993">
              <w:marLeft w:val="0"/>
              <w:marRight w:val="0"/>
              <w:marTop w:val="0"/>
              <w:marBottom w:val="0"/>
              <w:divBdr>
                <w:top w:val="none" w:sz="0" w:space="0" w:color="auto"/>
                <w:left w:val="none" w:sz="0" w:space="0" w:color="auto"/>
                <w:bottom w:val="none" w:sz="0" w:space="0" w:color="auto"/>
                <w:right w:val="none" w:sz="0" w:space="0" w:color="auto"/>
              </w:divBdr>
              <w:divsChild>
                <w:div w:id="632487984">
                  <w:marLeft w:val="0"/>
                  <w:marRight w:val="0"/>
                  <w:marTop w:val="0"/>
                  <w:marBottom w:val="0"/>
                  <w:divBdr>
                    <w:top w:val="none" w:sz="0" w:space="0" w:color="auto"/>
                    <w:left w:val="none" w:sz="0" w:space="0" w:color="auto"/>
                    <w:bottom w:val="none" w:sz="0" w:space="0" w:color="auto"/>
                    <w:right w:val="none" w:sz="0" w:space="0" w:color="auto"/>
                  </w:divBdr>
                </w:div>
                <w:div w:id="632488005">
                  <w:marLeft w:val="0"/>
                  <w:marRight w:val="0"/>
                  <w:marTop w:val="0"/>
                  <w:marBottom w:val="0"/>
                  <w:divBdr>
                    <w:top w:val="none" w:sz="0" w:space="0" w:color="auto"/>
                    <w:left w:val="none" w:sz="0" w:space="0" w:color="auto"/>
                    <w:bottom w:val="none" w:sz="0" w:space="0" w:color="auto"/>
                    <w:right w:val="none" w:sz="0" w:space="0" w:color="auto"/>
                  </w:divBdr>
                  <w:divsChild>
                    <w:div w:id="6324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88012">
          <w:marLeft w:val="0"/>
          <w:marRight w:val="0"/>
          <w:marTop w:val="0"/>
          <w:marBottom w:val="0"/>
          <w:divBdr>
            <w:top w:val="none" w:sz="0" w:space="0" w:color="auto"/>
            <w:left w:val="none" w:sz="0" w:space="0" w:color="auto"/>
            <w:bottom w:val="none" w:sz="0" w:space="0" w:color="auto"/>
            <w:right w:val="none" w:sz="0" w:space="0" w:color="auto"/>
          </w:divBdr>
        </w:div>
      </w:divsChild>
    </w:div>
    <w:div w:id="632488009">
      <w:marLeft w:val="0"/>
      <w:marRight w:val="0"/>
      <w:marTop w:val="0"/>
      <w:marBottom w:val="0"/>
      <w:divBdr>
        <w:top w:val="none" w:sz="0" w:space="0" w:color="auto"/>
        <w:left w:val="none" w:sz="0" w:space="0" w:color="auto"/>
        <w:bottom w:val="none" w:sz="0" w:space="0" w:color="auto"/>
        <w:right w:val="none" w:sz="0" w:space="0" w:color="auto"/>
      </w:divBdr>
    </w:div>
    <w:div w:id="632488011">
      <w:marLeft w:val="0"/>
      <w:marRight w:val="0"/>
      <w:marTop w:val="0"/>
      <w:marBottom w:val="0"/>
      <w:divBdr>
        <w:top w:val="none" w:sz="0" w:space="0" w:color="auto"/>
        <w:left w:val="none" w:sz="0" w:space="0" w:color="auto"/>
        <w:bottom w:val="none" w:sz="0" w:space="0" w:color="auto"/>
        <w:right w:val="none" w:sz="0" w:space="0" w:color="auto"/>
      </w:divBdr>
      <w:divsChild>
        <w:div w:id="632487983">
          <w:marLeft w:val="0"/>
          <w:marRight w:val="0"/>
          <w:marTop w:val="0"/>
          <w:marBottom w:val="0"/>
          <w:divBdr>
            <w:top w:val="none" w:sz="0" w:space="0" w:color="auto"/>
            <w:left w:val="none" w:sz="0" w:space="0" w:color="auto"/>
            <w:bottom w:val="none" w:sz="0" w:space="0" w:color="auto"/>
            <w:right w:val="none" w:sz="0" w:space="0" w:color="auto"/>
          </w:divBdr>
          <w:divsChild>
            <w:div w:id="632487980">
              <w:marLeft w:val="0"/>
              <w:marRight w:val="0"/>
              <w:marTop w:val="0"/>
              <w:marBottom w:val="0"/>
              <w:divBdr>
                <w:top w:val="none" w:sz="0" w:space="0" w:color="auto"/>
                <w:left w:val="none" w:sz="0" w:space="0" w:color="auto"/>
                <w:bottom w:val="none" w:sz="0" w:space="0" w:color="auto"/>
                <w:right w:val="none" w:sz="0" w:space="0" w:color="auto"/>
              </w:divBdr>
              <w:divsChild>
                <w:div w:id="6324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87990">
          <w:marLeft w:val="0"/>
          <w:marRight w:val="0"/>
          <w:marTop w:val="0"/>
          <w:marBottom w:val="0"/>
          <w:divBdr>
            <w:top w:val="none" w:sz="0" w:space="0" w:color="auto"/>
            <w:left w:val="none" w:sz="0" w:space="0" w:color="auto"/>
            <w:bottom w:val="none" w:sz="0" w:space="0" w:color="auto"/>
            <w:right w:val="none" w:sz="0" w:space="0" w:color="auto"/>
          </w:divBdr>
          <w:divsChild>
            <w:div w:id="632487991">
              <w:marLeft w:val="0"/>
              <w:marRight w:val="0"/>
              <w:marTop w:val="0"/>
              <w:marBottom w:val="0"/>
              <w:divBdr>
                <w:top w:val="none" w:sz="0" w:space="0" w:color="auto"/>
                <w:left w:val="none" w:sz="0" w:space="0" w:color="auto"/>
                <w:bottom w:val="none" w:sz="0" w:space="0" w:color="auto"/>
                <w:right w:val="none" w:sz="0" w:space="0" w:color="auto"/>
              </w:divBdr>
              <w:divsChild>
                <w:div w:id="632487987">
                  <w:marLeft w:val="-300"/>
                  <w:marRight w:val="0"/>
                  <w:marTop w:val="60"/>
                  <w:marBottom w:val="0"/>
                  <w:divBdr>
                    <w:top w:val="none" w:sz="0" w:space="0" w:color="auto"/>
                    <w:left w:val="none" w:sz="0" w:space="0" w:color="auto"/>
                    <w:bottom w:val="none" w:sz="0" w:space="0" w:color="auto"/>
                    <w:right w:val="none" w:sz="0" w:space="0" w:color="auto"/>
                  </w:divBdr>
                </w:div>
              </w:divsChild>
            </w:div>
            <w:div w:id="632487997">
              <w:marLeft w:val="0"/>
              <w:marRight w:val="0"/>
              <w:marTop w:val="0"/>
              <w:marBottom w:val="0"/>
              <w:divBdr>
                <w:top w:val="none" w:sz="0" w:space="0" w:color="auto"/>
                <w:left w:val="none" w:sz="0" w:space="0" w:color="auto"/>
                <w:bottom w:val="none" w:sz="0" w:space="0" w:color="auto"/>
                <w:right w:val="none" w:sz="0" w:space="0" w:color="auto"/>
              </w:divBdr>
              <w:divsChild>
                <w:div w:id="632487999">
                  <w:marLeft w:val="0"/>
                  <w:marRight w:val="0"/>
                  <w:marTop w:val="0"/>
                  <w:marBottom w:val="0"/>
                  <w:divBdr>
                    <w:top w:val="none" w:sz="0" w:space="0" w:color="auto"/>
                    <w:left w:val="none" w:sz="0" w:space="0" w:color="auto"/>
                    <w:bottom w:val="none" w:sz="0" w:space="0" w:color="auto"/>
                    <w:right w:val="none" w:sz="0" w:space="0" w:color="auto"/>
                  </w:divBdr>
                </w:div>
                <w:div w:id="632488002">
                  <w:marLeft w:val="0"/>
                  <w:marRight w:val="0"/>
                  <w:marTop w:val="0"/>
                  <w:marBottom w:val="0"/>
                  <w:divBdr>
                    <w:top w:val="none" w:sz="0" w:space="0" w:color="auto"/>
                    <w:left w:val="none" w:sz="0" w:space="0" w:color="auto"/>
                    <w:bottom w:val="none" w:sz="0" w:space="0" w:color="auto"/>
                    <w:right w:val="none" w:sz="0" w:space="0" w:color="auto"/>
                  </w:divBdr>
                  <w:divsChild>
                    <w:div w:id="6324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87994">
          <w:marLeft w:val="0"/>
          <w:marRight w:val="0"/>
          <w:marTop w:val="0"/>
          <w:marBottom w:val="0"/>
          <w:divBdr>
            <w:top w:val="none" w:sz="0" w:space="0" w:color="auto"/>
            <w:left w:val="none" w:sz="0" w:space="0" w:color="auto"/>
            <w:bottom w:val="none" w:sz="0" w:space="0" w:color="auto"/>
            <w:right w:val="none" w:sz="0" w:space="0" w:color="auto"/>
          </w:divBdr>
        </w:div>
      </w:divsChild>
    </w:div>
    <w:div w:id="632488013">
      <w:marLeft w:val="0"/>
      <w:marRight w:val="0"/>
      <w:marTop w:val="0"/>
      <w:marBottom w:val="0"/>
      <w:divBdr>
        <w:top w:val="none" w:sz="0" w:space="0" w:color="auto"/>
        <w:left w:val="none" w:sz="0" w:space="0" w:color="auto"/>
        <w:bottom w:val="none" w:sz="0" w:space="0" w:color="auto"/>
        <w:right w:val="none" w:sz="0" w:space="0" w:color="auto"/>
      </w:divBdr>
    </w:div>
    <w:div w:id="632488014">
      <w:marLeft w:val="0"/>
      <w:marRight w:val="0"/>
      <w:marTop w:val="0"/>
      <w:marBottom w:val="0"/>
      <w:divBdr>
        <w:top w:val="none" w:sz="0" w:space="0" w:color="auto"/>
        <w:left w:val="none" w:sz="0" w:space="0" w:color="auto"/>
        <w:bottom w:val="none" w:sz="0" w:space="0" w:color="auto"/>
        <w:right w:val="none" w:sz="0" w:space="0" w:color="auto"/>
      </w:divBdr>
    </w:div>
    <w:div w:id="632488015">
      <w:marLeft w:val="0"/>
      <w:marRight w:val="0"/>
      <w:marTop w:val="0"/>
      <w:marBottom w:val="0"/>
      <w:divBdr>
        <w:top w:val="none" w:sz="0" w:space="0" w:color="auto"/>
        <w:left w:val="none" w:sz="0" w:space="0" w:color="auto"/>
        <w:bottom w:val="none" w:sz="0" w:space="0" w:color="auto"/>
        <w:right w:val="none" w:sz="0" w:space="0" w:color="auto"/>
      </w:divBdr>
    </w:div>
    <w:div w:id="632488016">
      <w:marLeft w:val="0"/>
      <w:marRight w:val="0"/>
      <w:marTop w:val="0"/>
      <w:marBottom w:val="0"/>
      <w:divBdr>
        <w:top w:val="none" w:sz="0" w:space="0" w:color="auto"/>
        <w:left w:val="none" w:sz="0" w:space="0" w:color="auto"/>
        <w:bottom w:val="none" w:sz="0" w:space="0" w:color="auto"/>
        <w:right w:val="none" w:sz="0" w:space="0" w:color="auto"/>
      </w:divBdr>
    </w:div>
    <w:div w:id="632488017">
      <w:marLeft w:val="0"/>
      <w:marRight w:val="0"/>
      <w:marTop w:val="0"/>
      <w:marBottom w:val="0"/>
      <w:divBdr>
        <w:top w:val="none" w:sz="0" w:space="0" w:color="auto"/>
        <w:left w:val="none" w:sz="0" w:space="0" w:color="auto"/>
        <w:bottom w:val="none" w:sz="0" w:space="0" w:color="auto"/>
        <w:right w:val="none" w:sz="0" w:space="0" w:color="auto"/>
      </w:divBdr>
      <w:divsChild>
        <w:div w:id="632488000">
          <w:marLeft w:val="0"/>
          <w:marRight w:val="0"/>
          <w:marTop w:val="0"/>
          <w:marBottom w:val="0"/>
          <w:divBdr>
            <w:top w:val="none" w:sz="0" w:space="0" w:color="auto"/>
            <w:left w:val="none" w:sz="0" w:space="0" w:color="auto"/>
            <w:bottom w:val="none" w:sz="0" w:space="0" w:color="auto"/>
            <w:right w:val="none" w:sz="0" w:space="0" w:color="auto"/>
          </w:divBdr>
        </w:div>
        <w:div w:id="632488007">
          <w:marLeft w:val="0"/>
          <w:marRight w:val="0"/>
          <w:marTop w:val="0"/>
          <w:marBottom w:val="0"/>
          <w:divBdr>
            <w:top w:val="none" w:sz="0" w:space="0" w:color="auto"/>
            <w:left w:val="none" w:sz="0" w:space="0" w:color="auto"/>
            <w:bottom w:val="none" w:sz="0" w:space="0" w:color="auto"/>
            <w:right w:val="none" w:sz="0" w:space="0" w:color="auto"/>
          </w:divBdr>
          <w:divsChild>
            <w:div w:id="632487986">
              <w:marLeft w:val="0"/>
              <w:marRight w:val="0"/>
              <w:marTop w:val="0"/>
              <w:marBottom w:val="0"/>
              <w:divBdr>
                <w:top w:val="none" w:sz="0" w:space="0" w:color="auto"/>
                <w:left w:val="none" w:sz="0" w:space="0" w:color="auto"/>
                <w:bottom w:val="none" w:sz="0" w:space="0" w:color="auto"/>
                <w:right w:val="none" w:sz="0" w:space="0" w:color="auto"/>
              </w:divBdr>
              <w:divsChild>
                <w:div w:id="6324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88018">
          <w:marLeft w:val="0"/>
          <w:marRight w:val="0"/>
          <w:marTop w:val="0"/>
          <w:marBottom w:val="0"/>
          <w:divBdr>
            <w:top w:val="none" w:sz="0" w:space="0" w:color="auto"/>
            <w:left w:val="none" w:sz="0" w:space="0" w:color="auto"/>
            <w:bottom w:val="none" w:sz="0" w:space="0" w:color="auto"/>
            <w:right w:val="none" w:sz="0" w:space="0" w:color="auto"/>
          </w:divBdr>
          <w:divsChild>
            <w:div w:id="632487989">
              <w:marLeft w:val="0"/>
              <w:marRight w:val="0"/>
              <w:marTop w:val="0"/>
              <w:marBottom w:val="0"/>
              <w:divBdr>
                <w:top w:val="none" w:sz="0" w:space="0" w:color="auto"/>
                <w:left w:val="none" w:sz="0" w:space="0" w:color="auto"/>
                <w:bottom w:val="none" w:sz="0" w:space="0" w:color="auto"/>
                <w:right w:val="none" w:sz="0" w:space="0" w:color="auto"/>
              </w:divBdr>
              <w:divsChild>
                <w:div w:id="632488006">
                  <w:marLeft w:val="-300"/>
                  <w:marRight w:val="0"/>
                  <w:marTop w:val="60"/>
                  <w:marBottom w:val="0"/>
                  <w:divBdr>
                    <w:top w:val="none" w:sz="0" w:space="0" w:color="auto"/>
                    <w:left w:val="none" w:sz="0" w:space="0" w:color="auto"/>
                    <w:bottom w:val="none" w:sz="0" w:space="0" w:color="auto"/>
                    <w:right w:val="none" w:sz="0" w:space="0" w:color="auto"/>
                  </w:divBdr>
                </w:div>
              </w:divsChild>
            </w:div>
            <w:div w:id="632487998">
              <w:marLeft w:val="0"/>
              <w:marRight w:val="0"/>
              <w:marTop w:val="0"/>
              <w:marBottom w:val="0"/>
              <w:divBdr>
                <w:top w:val="none" w:sz="0" w:space="0" w:color="auto"/>
                <w:left w:val="none" w:sz="0" w:space="0" w:color="auto"/>
                <w:bottom w:val="none" w:sz="0" w:space="0" w:color="auto"/>
                <w:right w:val="none" w:sz="0" w:space="0" w:color="auto"/>
              </w:divBdr>
              <w:divsChild>
                <w:div w:id="632487981">
                  <w:marLeft w:val="0"/>
                  <w:marRight w:val="0"/>
                  <w:marTop w:val="0"/>
                  <w:marBottom w:val="0"/>
                  <w:divBdr>
                    <w:top w:val="none" w:sz="0" w:space="0" w:color="auto"/>
                    <w:left w:val="none" w:sz="0" w:space="0" w:color="auto"/>
                    <w:bottom w:val="none" w:sz="0" w:space="0" w:color="auto"/>
                    <w:right w:val="none" w:sz="0" w:space="0" w:color="auto"/>
                  </w:divBdr>
                  <w:divsChild>
                    <w:div w:id="632487982">
                      <w:marLeft w:val="0"/>
                      <w:marRight w:val="0"/>
                      <w:marTop w:val="0"/>
                      <w:marBottom w:val="0"/>
                      <w:divBdr>
                        <w:top w:val="none" w:sz="0" w:space="0" w:color="auto"/>
                        <w:left w:val="none" w:sz="0" w:space="0" w:color="auto"/>
                        <w:bottom w:val="none" w:sz="0" w:space="0" w:color="auto"/>
                        <w:right w:val="none" w:sz="0" w:space="0" w:color="auto"/>
                      </w:divBdr>
                    </w:div>
                  </w:divsChild>
                </w:div>
                <w:div w:id="6324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880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s.de/r3/?docId=BJNR002450869BJNE023700377&amp;docFormat=xsl&amp;docPart=S" TargetMode="External"/><Relationship Id="rId13" Type="http://schemas.openxmlformats.org/officeDocument/2006/relationships/hyperlink" Target="https://www.juris.de/r3/?docId=jcg-32006L0112&amp;docFormat=xsl&amp;docPart=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rbw.juris.de/cgi-bin/laender_rechtsprechung/document.py?Gericht=bw&amp;GerichtAuswahl=Arbeitsgerichte&amp;Art=en&amp;Datum=2017&amp;Seite=0&amp;nr=22863&amp;pos=1&amp;anz=48" TargetMode="External"/><Relationship Id="rId12" Type="http://schemas.openxmlformats.org/officeDocument/2006/relationships/hyperlink" Target="https://www.juris.de/r3/?docId=jcg-32006L0112&amp;docFormat=xsl&amp;docPart=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is.de/r3/?docId=JURE150019787&amp;docFormat=xsl&amp;docPart=L" TargetMode="External"/><Relationship Id="rId5" Type="http://schemas.openxmlformats.org/officeDocument/2006/relationships/footnotes" Target="footnotes.xml"/><Relationship Id="rId15" Type="http://schemas.openxmlformats.org/officeDocument/2006/relationships/hyperlink" Target="https://www.juris.de/r3/?docId=MWRE217022736&amp;docFormat=xsl&amp;docPart=L" TargetMode="External"/><Relationship Id="rId10" Type="http://schemas.openxmlformats.org/officeDocument/2006/relationships/hyperlink" Target="https://www.juris.de/r3/?docId=JURE150019787&amp;docFormat=xsl&amp;docPart=L" TargetMode="External"/><Relationship Id="rId4" Type="http://schemas.openxmlformats.org/officeDocument/2006/relationships/webSettings" Target="webSettings.xml"/><Relationship Id="rId9" Type="http://schemas.openxmlformats.org/officeDocument/2006/relationships/hyperlink" Target="https://www.juris.de/r3/?docId=BJNR001950896BJNE030802377&amp;docFormat=xsl&amp;docPart=S" TargetMode="External"/><Relationship Id="rId14" Type="http://schemas.openxmlformats.org/officeDocument/2006/relationships/hyperlink" Target="https://www.juris.de/r3/?docId=MWRE217022736&amp;docFormat=xsl&amp;docPar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83DC4E28.dotm</Template>
  <TotalTime>0</TotalTime>
  <Pages>4</Pages>
  <Words>1603</Words>
  <Characters>10102</Characters>
  <Application>Microsoft Office Word</Application>
  <DocSecurity>0</DocSecurity>
  <Lines>84</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2017-12-04T09:00:00Z</dcterms:created>
  <dcterms:modified xsi:type="dcterms:W3CDTF">2017-12-04T09:00:00Z</dcterms:modified>
</cp:coreProperties>
</file>