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75E" w:rsidRPr="00D46A08" w:rsidRDefault="00D8775E" w:rsidP="00D8775E">
      <w:pPr>
        <w:tabs>
          <w:tab w:val="center" w:pos="4536"/>
          <w:tab w:val="right" w:pos="9072"/>
        </w:tabs>
        <w:spacing w:after="0" w:line="240" w:lineRule="auto"/>
        <w:jc w:val="right"/>
      </w:pPr>
      <w:bookmarkStart w:id="0" w:name="2"/>
      <w:bookmarkStart w:id="1" w:name="9"/>
      <w:bookmarkStart w:id="2" w:name="_GoBack"/>
      <w:bookmarkEnd w:id="0"/>
      <w:bookmarkEnd w:id="1"/>
      <w:bookmarkEnd w:id="2"/>
      <w:r w:rsidRPr="00D46A08">
        <w:rPr>
          <w:rFonts w:cs="Arial"/>
          <w:b/>
          <w:bCs/>
          <w:sz w:val="40"/>
          <w:szCs w:val="40"/>
        </w:rPr>
        <w:t>DASV</w:t>
      </w:r>
    </w:p>
    <w:p w:rsidR="00D8775E" w:rsidRPr="00D46A08" w:rsidRDefault="00D8775E" w:rsidP="00D8775E">
      <w:pPr>
        <w:spacing w:after="0" w:line="240" w:lineRule="auto"/>
        <w:jc w:val="right"/>
        <w:rPr>
          <w:rFonts w:cs="Arial"/>
          <w:sz w:val="20"/>
          <w:szCs w:val="20"/>
        </w:rPr>
      </w:pPr>
      <w:r w:rsidRPr="00D46A08">
        <w:rPr>
          <w:rFonts w:cs="Arial"/>
          <w:sz w:val="20"/>
          <w:szCs w:val="20"/>
        </w:rPr>
        <w:t>Deutsche Anwalts- und</w:t>
      </w:r>
    </w:p>
    <w:p w:rsidR="00D8775E" w:rsidRPr="00D46A08" w:rsidRDefault="00D8775E" w:rsidP="00D8775E">
      <w:pPr>
        <w:spacing w:after="0" w:line="240" w:lineRule="auto"/>
        <w:jc w:val="right"/>
        <w:rPr>
          <w:rFonts w:cs="Arial"/>
          <w:sz w:val="20"/>
          <w:szCs w:val="20"/>
        </w:rPr>
      </w:pPr>
      <w:r w:rsidRPr="00D46A08">
        <w:rPr>
          <w:rFonts w:cs="Arial"/>
          <w:sz w:val="20"/>
          <w:szCs w:val="20"/>
        </w:rPr>
        <w:t>Steuerberatervereinigung</w:t>
      </w:r>
    </w:p>
    <w:p w:rsidR="00D8775E" w:rsidRPr="00D46A08" w:rsidRDefault="00D8775E" w:rsidP="00D8775E">
      <w:pPr>
        <w:spacing w:after="0" w:line="240" w:lineRule="auto"/>
        <w:jc w:val="right"/>
        <w:rPr>
          <w:rFonts w:cs="Arial"/>
          <w:sz w:val="20"/>
          <w:szCs w:val="20"/>
        </w:rPr>
      </w:pPr>
      <w:r w:rsidRPr="00D46A08">
        <w:rPr>
          <w:rFonts w:cs="Arial"/>
          <w:sz w:val="20"/>
          <w:szCs w:val="20"/>
        </w:rPr>
        <w:t>für die mittelständische</w:t>
      </w:r>
    </w:p>
    <w:p w:rsidR="00D8775E" w:rsidRPr="00D46A08" w:rsidRDefault="00D8775E" w:rsidP="00D8775E">
      <w:pPr>
        <w:spacing w:after="0" w:line="360" w:lineRule="auto"/>
        <w:ind w:left="7080"/>
        <w:jc w:val="right"/>
        <w:rPr>
          <w:rFonts w:cs="Arial"/>
        </w:rPr>
      </w:pPr>
      <w:r w:rsidRPr="00D46A08">
        <w:rPr>
          <w:rFonts w:cs="Arial"/>
          <w:sz w:val="20"/>
          <w:szCs w:val="20"/>
        </w:rPr>
        <w:t>Wirtschaft e. V.</w:t>
      </w:r>
    </w:p>
    <w:p w:rsidR="00D8775E" w:rsidRPr="00D46A08" w:rsidRDefault="00D8775E" w:rsidP="00D8775E">
      <w:pPr>
        <w:spacing w:after="0" w:line="240" w:lineRule="auto"/>
        <w:jc w:val="center"/>
        <w:rPr>
          <w:rFonts w:cs="Arial"/>
          <w:b/>
          <w:bCs/>
          <w:sz w:val="20"/>
          <w:szCs w:val="20"/>
        </w:rPr>
      </w:pPr>
      <w:r w:rsidRPr="00D46A08">
        <w:rPr>
          <w:rFonts w:cs="Arial"/>
          <w:b/>
          <w:bCs/>
          <w:sz w:val="20"/>
          <w:szCs w:val="20"/>
        </w:rPr>
        <w:t>10 Urteile, die Ihre Leser interessieren könnten</w:t>
      </w:r>
    </w:p>
    <w:p w:rsidR="00D8775E" w:rsidRPr="00D46A08" w:rsidRDefault="00D8775E" w:rsidP="00D8775E">
      <w:pPr>
        <w:spacing w:after="0" w:line="240" w:lineRule="auto"/>
        <w:jc w:val="center"/>
        <w:rPr>
          <w:rFonts w:cs="Arial"/>
          <w:b/>
          <w:bCs/>
          <w:sz w:val="20"/>
          <w:szCs w:val="20"/>
        </w:rPr>
      </w:pPr>
    </w:p>
    <w:p w:rsidR="00D8775E" w:rsidRPr="00D46A08" w:rsidRDefault="00D8775E" w:rsidP="00D8775E">
      <w:pPr>
        <w:spacing w:after="0" w:line="240" w:lineRule="auto"/>
        <w:jc w:val="center"/>
        <w:rPr>
          <w:rFonts w:cs="Arial"/>
          <w:sz w:val="20"/>
          <w:szCs w:val="20"/>
        </w:rPr>
      </w:pPr>
      <w:r w:rsidRPr="00D46A08">
        <w:rPr>
          <w:rFonts w:cs="Arial"/>
          <w:sz w:val="20"/>
          <w:szCs w:val="20"/>
        </w:rPr>
        <w:t>zusammengestellt von Rechtsanwalt/Fachanwalt für Arbeitsrecht u. Fachanwalt für Erbrecht</w:t>
      </w:r>
    </w:p>
    <w:p w:rsidR="00D8775E" w:rsidRPr="00D46A08" w:rsidRDefault="00D8775E" w:rsidP="00D8775E">
      <w:pPr>
        <w:spacing w:after="0" w:line="240" w:lineRule="auto"/>
        <w:ind w:right="540"/>
        <w:jc w:val="center"/>
        <w:rPr>
          <w:rFonts w:cs="Arial"/>
          <w:bCs/>
          <w:sz w:val="20"/>
          <w:szCs w:val="20"/>
        </w:rPr>
      </w:pPr>
      <w:r w:rsidRPr="00D46A08">
        <w:rPr>
          <w:rFonts w:cs="Arial"/>
          <w:bCs/>
          <w:sz w:val="20"/>
          <w:szCs w:val="20"/>
        </w:rPr>
        <w:t>Michael Henn, Stuttgart</w:t>
      </w:r>
    </w:p>
    <w:p w:rsidR="00D8775E" w:rsidRPr="00D46A08" w:rsidRDefault="00D8775E" w:rsidP="00D8775E">
      <w:pPr>
        <w:spacing w:after="0" w:line="240" w:lineRule="auto"/>
        <w:rPr>
          <w:rFonts w:cs="Arial"/>
          <w:sz w:val="20"/>
          <w:szCs w:val="20"/>
        </w:rPr>
      </w:pPr>
    </w:p>
    <w:p w:rsidR="00D8775E" w:rsidRPr="00C603C8" w:rsidRDefault="00D8775E" w:rsidP="00D8775E">
      <w:pPr>
        <w:spacing w:after="0" w:line="240" w:lineRule="auto"/>
        <w:jc w:val="center"/>
        <w:rPr>
          <w:rFonts w:cs="Arial"/>
          <w:b/>
          <w:sz w:val="20"/>
          <w:szCs w:val="20"/>
        </w:rPr>
      </w:pPr>
      <w:r w:rsidRPr="00C603C8">
        <w:rPr>
          <w:rFonts w:cs="Arial"/>
          <w:b/>
          <w:sz w:val="20"/>
          <w:szCs w:val="20"/>
        </w:rPr>
        <w:t>I.</w:t>
      </w:r>
    </w:p>
    <w:p w:rsidR="00D8775E" w:rsidRDefault="00D8775E" w:rsidP="00D8775E">
      <w:pPr>
        <w:pStyle w:val="berschrift3"/>
        <w:spacing w:after="0" w:line="240" w:lineRule="auto"/>
        <w:jc w:val="center"/>
        <w:rPr>
          <w:rFonts w:ascii="Arial" w:hAnsi="Arial" w:cs="Arial"/>
          <w:sz w:val="20"/>
          <w:szCs w:val="20"/>
        </w:rPr>
      </w:pPr>
      <w:r w:rsidRPr="00D8775E">
        <w:rPr>
          <w:rFonts w:ascii="Arial" w:hAnsi="Arial" w:cs="Arial"/>
          <w:sz w:val="20"/>
          <w:szCs w:val="20"/>
        </w:rPr>
        <w:t>Klausel zur Verjährung von Ersatzansprüchen des Vermieters</w:t>
      </w:r>
    </w:p>
    <w:p w:rsidR="00D8775E" w:rsidRPr="00D8775E" w:rsidRDefault="00D8775E" w:rsidP="00D8775E">
      <w:pPr>
        <w:pStyle w:val="berschrift3"/>
        <w:spacing w:after="0" w:line="240" w:lineRule="auto"/>
        <w:jc w:val="center"/>
        <w:rPr>
          <w:rFonts w:ascii="Arial" w:hAnsi="Arial" w:cs="Arial"/>
          <w:b w:val="0"/>
          <w:sz w:val="20"/>
          <w:szCs w:val="20"/>
        </w:rPr>
      </w:pPr>
      <w:r>
        <w:rPr>
          <w:rFonts w:ascii="Arial" w:hAnsi="Arial" w:cs="Arial"/>
          <w:b w:val="0"/>
          <w:sz w:val="20"/>
          <w:szCs w:val="20"/>
        </w:rPr>
        <w:t xml:space="preserve">BGH </w:t>
      </w:r>
      <w:r w:rsidRPr="00D8775E">
        <w:rPr>
          <w:rFonts w:ascii="Arial" w:hAnsi="Arial" w:cs="Arial"/>
          <w:b w:val="0"/>
          <w:sz w:val="20"/>
          <w:szCs w:val="20"/>
        </w:rPr>
        <w:t>Urteil vom 08.11.2017, Az: VIII ZR 13/17</w:t>
      </w:r>
    </w:p>
    <w:p w:rsidR="00D8775E" w:rsidRDefault="00D8775E" w:rsidP="00D8775E">
      <w:pPr>
        <w:spacing w:after="0" w:line="240" w:lineRule="auto"/>
        <w:jc w:val="both"/>
        <w:rPr>
          <w:rFonts w:cs="Arial"/>
          <w:sz w:val="20"/>
          <w:szCs w:val="20"/>
        </w:rPr>
      </w:pPr>
    </w:p>
    <w:p w:rsidR="00C734AF" w:rsidRPr="00D8775E" w:rsidRDefault="00C734AF" w:rsidP="00D8775E">
      <w:pPr>
        <w:spacing w:after="0" w:line="240" w:lineRule="auto"/>
        <w:jc w:val="both"/>
        <w:rPr>
          <w:rFonts w:cs="Arial"/>
          <w:sz w:val="20"/>
          <w:szCs w:val="20"/>
        </w:rPr>
      </w:pPr>
      <w:r w:rsidRPr="00D8775E">
        <w:rPr>
          <w:rFonts w:cs="Arial"/>
          <w:sz w:val="20"/>
          <w:szCs w:val="20"/>
        </w:rPr>
        <w:t>Die in einem von dem Vermieter verwendeten Formularmietvertrag enthaltene Bestimmung</w:t>
      </w:r>
    </w:p>
    <w:p w:rsidR="00C734AF" w:rsidRPr="00D8775E" w:rsidRDefault="00C734AF" w:rsidP="00D8775E">
      <w:pPr>
        <w:spacing w:after="0" w:line="240" w:lineRule="auto"/>
        <w:jc w:val="both"/>
        <w:rPr>
          <w:rFonts w:cs="Arial"/>
          <w:sz w:val="20"/>
          <w:szCs w:val="20"/>
        </w:rPr>
      </w:pPr>
      <w:r w:rsidRPr="00D8775E">
        <w:rPr>
          <w:rFonts w:cs="Arial"/>
          <w:sz w:val="20"/>
          <w:szCs w:val="20"/>
        </w:rPr>
        <w:t xml:space="preserve">"Ersatzansprüche des Vermieters wegen Veränderungen oder Verschlechterungen der Mietsache und Ansprüche des Mieters auf Ersatz von Aufwendungen oder Gestattung der Wegnahme einer Einrichtung verjähren in zwölf Monaten nach Beendigung des Mietverhältnisses." </w:t>
      </w:r>
    </w:p>
    <w:p w:rsidR="00C734AF" w:rsidRPr="00D8775E" w:rsidRDefault="00C734AF" w:rsidP="00D8775E">
      <w:pPr>
        <w:spacing w:after="0" w:line="240" w:lineRule="auto"/>
        <w:jc w:val="both"/>
        <w:rPr>
          <w:rFonts w:cs="Arial"/>
          <w:sz w:val="20"/>
          <w:szCs w:val="20"/>
        </w:rPr>
      </w:pPr>
      <w:r w:rsidRPr="00D8775E">
        <w:rPr>
          <w:rFonts w:cs="Arial"/>
          <w:sz w:val="20"/>
          <w:szCs w:val="20"/>
        </w:rPr>
        <w:t>ist mit wesentlichen Grundgedanken des § 548 Abs. 1 Satz 1, 2 BGB unvereinbar und benachteiligt den Mieter deshalb entgegen den Geboten von Treu und Glauben unangemessen; sie ist daher nach § 307 Abs. 1 Satz 1 , Abs. 2 Nr. 1 BGB unwirksam.</w:t>
      </w:r>
    </w:p>
    <w:p w:rsidR="00C734AF" w:rsidRDefault="00C734AF" w:rsidP="00D8775E">
      <w:pPr>
        <w:spacing w:after="0" w:line="240" w:lineRule="auto"/>
        <w:jc w:val="both"/>
        <w:rPr>
          <w:rFonts w:cs="Arial"/>
          <w:sz w:val="20"/>
          <w:szCs w:val="20"/>
        </w:rPr>
      </w:pPr>
    </w:p>
    <w:p w:rsidR="00D8775E" w:rsidRDefault="00D8775E" w:rsidP="00D8775E">
      <w:pPr>
        <w:spacing w:after="0" w:line="240" w:lineRule="auto"/>
        <w:jc w:val="center"/>
        <w:rPr>
          <w:rFonts w:cs="Arial"/>
          <w:b/>
          <w:sz w:val="20"/>
          <w:szCs w:val="20"/>
        </w:rPr>
      </w:pPr>
      <w:r>
        <w:rPr>
          <w:rFonts w:cs="Arial"/>
          <w:b/>
          <w:sz w:val="20"/>
          <w:szCs w:val="20"/>
        </w:rPr>
        <w:t>II.</w:t>
      </w:r>
    </w:p>
    <w:p w:rsidR="00D8775E" w:rsidRDefault="00D8775E" w:rsidP="00D8775E">
      <w:pPr>
        <w:pStyle w:val="berschrift3"/>
        <w:spacing w:after="0" w:line="240" w:lineRule="auto"/>
        <w:jc w:val="center"/>
        <w:rPr>
          <w:rFonts w:ascii="Arial" w:hAnsi="Arial" w:cs="Arial"/>
          <w:sz w:val="20"/>
          <w:szCs w:val="20"/>
        </w:rPr>
      </w:pPr>
      <w:r w:rsidRPr="00D8775E">
        <w:rPr>
          <w:rFonts w:ascii="Arial" w:hAnsi="Arial" w:cs="Arial"/>
          <w:sz w:val="20"/>
          <w:szCs w:val="20"/>
        </w:rPr>
        <w:t>Automatische Verlängerung eines Werbevertrages</w:t>
      </w:r>
    </w:p>
    <w:p w:rsidR="00D8775E" w:rsidRPr="00D8775E" w:rsidRDefault="00D8775E" w:rsidP="00D8775E">
      <w:pPr>
        <w:pStyle w:val="berschrift4"/>
        <w:spacing w:after="0"/>
        <w:jc w:val="center"/>
        <w:rPr>
          <w:rFonts w:ascii="Arial" w:hAnsi="Arial" w:cs="Arial"/>
          <w:color w:val="000000" w:themeColor="text1"/>
          <w:sz w:val="20"/>
          <w:szCs w:val="20"/>
        </w:rPr>
      </w:pPr>
      <w:r>
        <w:rPr>
          <w:rFonts w:ascii="Arial" w:hAnsi="Arial" w:cs="Arial"/>
          <w:color w:val="000000" w:themeColor="text1"/>
          <w:sz w:val="20"/>
          <w:szCs w:val="20"/>
        </w:rPr>
        <w:t xml:space="preserve">BGH </w:t>
      </w:r>
      <w:r w:rsidRPr="00D8775E">
        <w:rPr>
          <w:rFonts w:ascii="Arial" w:hAnsi="Arial" w:cs="Arial"/>
          <w:color w:val="000000" w:themeColor="text1"/>
          <w:sz w:val="20"/>
          <w:szCs w:val="20"/>
        </w:rPr>
        <w:t>Urteil vom 25.10.2017, Az: XII ZR 1/17</w:t>
      </w:r>
    </w:p>
    <w:p w:rsidR="00D8775E" w:rsidRDefault="00D8775E" w:rsidP="00D8775E">
      <w:pPr>
        <w:pStyle w:val="berschrift3"/>
        <w:spacing w:after="0" w:line="240" w:lineRule="auto"/>
        <w:jc w:val="center"/>
        <w:rPr>
          <w:rFonts w:ascii="Arial" w:hAnsi="Arial" w:cs="Arial"/>
          <w:b w:val="0"/>
          <w:sz w:val="20"/>
          <w:szCs w:val="20"/>
        </w:rPr>
      </w:pPr>
    </w:p>
    <w:p w:rsidR="00D8775E" w:rsidRDefault="00D8775E" w:rsidP="00D8775E">
      <w:pPr>
        <w:spacing w:after="0" w:line="240" w:lineRule="auto"/>
        <w:jc w:val="both"/>
        <w:rPr>
          <w:rFonts w:cs="Arial"/>
          <w:sz w:val="20"/>
          <w:szCs w:val="20"/>
        </w:rPr>
      </w:pPr>
      <w:r w:rsidRPr="00D8775E">
        <w:rPr>
          <w:rFonts w:cs="Arial"/>
          <w:sz w:val="20"/>
          <w:szCs w:val="20"/>
        </w:rPr>
        <w:t>Eine Klausel zur automatischen Verlängerung eines Werbevertrags ist wegen fehlender Transparenz unwirksam, wenn bei Vertragsbeginn nicht eindeutig feststeht, bis wann die Kündigung zur Abwendung der Verlängerung spätestens ausgesprochen werden muss.</w:t>
      </w:r>
    </w:p>
    <w:p w:rsidR="00D8775E" w:rsidRDefault="00D8775E" w:rsidP="00D8775E">
      <w:pPr>
        <w:spacing w:after="0" w:line="240" w:lineRule="auto"/>
        <w:jc w:val="both"/>
        <w:rPr>
          <w:rFonts w:cs="Arial"/>
          <w:sz w:val="20"/>
          <w:szCs w:val="20"/>
        </w:rPr>
      </w:pPr>
    </w:p>
    <w:p w:rsidR="00D8775E" w:rsidRDefault="00D8775E" w:rsidP="00D8775E">
      <w:pPr>
        <w:spacing w:after="0" w:line="240" w:lineRule="auto"/>
        <w:jc w:val="center"/>
        <w:rPr>
          <w:rFonts w:cs="Arial"/>
          <w:b/>
          <w:sz w:val="20"/>
          <w:szCs w:val="20"/>
        </w:rPr>
      </w:pPr>
      <w:r>
        <w:rPr>
          <w:rFonts w:cs="Arial"/>
          <w:b/>
          <w:sz w:val="20"/>
          <w:szCs w:val="20"/>
        </w:rPr>
        <w:t>III.</w:t>
      </w:r>
    </w:p>
    <w:p w:rsidR="00D8775E" w:rsidRDefault="00D8775E" w:rsidP="00D8775E">
      <w:pPr>
        <w:pStyle w:val="berschrift3"/>
        <w:spacing w:after="0" w:line="240" w:lineRule="auto"/>
        <w:jc w:val="center"/>
        <w:rPr>
          <w:rFonts w:ascii="Arial" w:hAnsi="Arial" w:cs="Arial"/>
          <w:sz w:val="20"/>
          <w:szCs w:val="20"/>
        </w:rPr>
      </w:pPr>
      <w:r w:rsidRPr="00D8775E">
        <w:rPr>
          <w:rFonts w:ascii="Arial" w:hAnsi="Arial" w:cs="Arial"/>
          <w:sz w:val="20"/>
          <w:szCs w:val="20"/>
        </w:rPr>
        <w:t>Pflichten bei Beitritt zu Publikumspersonengesellschaft</w:t>
      </w:r>
    </w:p>
    <w:p w:rsidR="00D8775E" w:rsidRDefault="00D8775E" w:rsidP="00D8775E">
      <w:pPr>
        <w:pStyle w:val="berschrift4"/>
        <w:spacing w:after="0"/>
        <w:jc w:val="center"/>
        <w:rPr>
          <w:rFonts w:ascii="Arial" w:hAnsi="Arial" w:cs="Arial"/>
          <w:color w:val="000000" w:themeColor="text1"/>
          <w:sz w:val="20"/>
          <w:szCs w:val="20"/>
        </w:rPr>
      </w:pPr>
      <w:r w:rsidRPr="00D8775E">
        <w:rPr>
          <w:rFonts w:ascii="Arial" w:hAnsi="Arial" w:cs="Arial"/>
          <w:color w:val="000000" w:themeColor="text1"/>
          <w:sz w:val="20"/>
          <w:szCs w:val="20"/>
        </w:rPr>
        <w:t>Beschluss vom 07.11.2017, Az: II ZR 127/16</w:t>
      </w:r>
    </w:p>
    <w:p w:rsidR="00D8775E" w:rsidRDefault="00D8775E" w:rsidP="00D8775E">
      <w:pPr>
        <w:pStyle w:val="berschrift4"/>
        <w:spacing w:after="0"/>
        <w:jc w:val="center"/>
        <w:rPr>
          <w:rFonts w:ascii="Arial" w:hAnsi="Arial" w:cs="Arial"/>
          <w:color w:val="000000" w:themeColor="text1"/>
          <w:sz w:val="20"/>
          <w:szCs w:val="20"/>
        </w:rPr>
      </w:pPr>
    </w:p>
    <w:p w:rsidR="00D8775E" w:rsidRDefault="00D8775E" w:rsidP="00D8775E">
      <w:pPr>
        <w:pStyle w:val="berschrift4"/>
        <w:spacing w:after="0"/>
        <w:jc w:val="both"/>
        <w:rPr>
          <w:rFonts w:ascii="Arial" w:hAnsi="Arial" w:cs="Arial"/>
          <w:color w:val="000000" w:themeColor="text1"/>
          <w:sz w:val="20"/>
          <w:szCs w:val="20"/>
        </w:rPr>
      </w:pPr>
      <w:r w:rsidRPr="00D8775E">
        <w:rPr>
          <w:rFonts w:ascii="Arial" w:hAnsi="Arial" w:cs="Arial"/>
          <w:color w:val="000000" w:themeColor="text1"/>
          <w:sz w:val="20"/>
          <w:szCs w:val="20"/>
        </w:rPr>
        <w:t>Für den einer Publikumspersonengesellschaft beitretenden Gesellschafter müssen sich die mit dem Beitritt verbundenen, nicht unmittelbar aus dem Gesetz folgenden Pflichten aus dem Gesellschaftsvertrag klar ergeben.</w:t>
      </w:r>
    </w:p>
    <w:p w:rsidR="00D8775E" w:rsidRDefault="00D8775E" w:rsidP="00D8775E">
      <w:pPr>
        <w:pStyle w:val="berschrift4"/>
        <w:spacing w:after="0"/>
        <w:jc w:val="both"/>
        <w:rPr>
          <w:rFonts w:ascii="Arial" w:hAnsi="Arial" w:cs="Arial"/>
          <w:color w:val="000000" w:themeColor="text1"/>
          <w:sz w:val="20"/>
          <w:szCs w:val="20"/>
        </w:rPr>
      </w:pPr>
    </w:p>
    <w:p w:rsidR="00D8775E" w:rsidRDefault="00D8775E" w:rsidP="00D8775E">
      <w:pPr>
        <w:pStyle w:val="berschrift4"/>
        <w:spacing w:after="0"/>
        <w:jc w:val="center"/>
        <w:rPr>
          <w:rFonts w:ascii="Arial" w:hAnsi="Arial" w:cs="Arial"/>
          <w:b/>
          <w:color w:val="000000" w:themeColor="text1"/>
          <w:sz w:val="20"/>
          <w:szCs w:val="20"/>
        </w:rPr>
      </w:pPr>
      <w:r>
        <w:rPr>
          <w:rFonts w:ascii="Arial" w:hAnsi="Arial" w:cs="Arial"/>
          <w:b/>
          <w:color w:val="000000" w:themeColor="text1"/>
          <w:sz w:val="20"/>
          <w:szCs w:val="20"/>
        </w:rPr>
        <w:t>IV.</w:t>
      </w:r>
    </w:p>
    <w:p w:rsidR="00D8775E" w:rsidRDefault="00D8775E" w:rsidP="00D8775E">
      <w:pPr>
        <w:pStyle w:val="berschrift4"/>
        <w:spacing w:after="0"/>
        <w:jc w:val="center"/>
        <w:rPr>
          <w:rFonts w:ascii="Arial" w:hAnsi="Arial" w:cs="Arial"/>
          <w:b/>
          <w:color w:val="000000" w:themeColor="text1"/>
          <w:sz w:val="20"/>
          <w:szCs w:val="20"/>
        </w:rPr>
      </w:pPr>
      <w:r w:rsidRPr="00D8775E">
        <w:rPr>
          <w:rFonts w:ascii="Arial" w:hAnsi="Arial" w:cs="Arial"/>
          <w:b/>
          <w:color w:val="000000" w:themeColor="text1"/>
          <w:sz w:val="20"/>
          <w:szCs w:val="20"/>
        </w:rPr>
        <w:t>Ersatzpflicht des Grundstücksverkäufers</w:t>
      </w:r>
    </w:p>
    <w:p w:rsidR="00D8775E" w:rsidRPr="00D8775E" w:rsidRDefault="00D8775E" w:rsidP="00D8775E">
      <w:pPr>
        <w:pStyle w:val="berschrift4"/>
        <w:spacing w:after="0"/>
        <w:jc w:val="center"/>
        <w:rPr>
          <w:rFonts w:ascii="Arial" w:hAnsi="Arial" w:cs="Arial"/>
          <w:color w:val="000000" w:themeColor="text1"/>
          <w:sz w:val="20"/>
          <w:szCs w:val="20"/>
        </w:rPr>
      </w:pPr>
      <w:r>
        <w:rPr>
          <w:rFonts w:ascii="Arial" w:hAnsi="Arial" w:cs="Arial"/>
          <w:color w:val="000000" w:themeColor="text1"/>
          <w:sz w:val="20"/>
          <w:szCs w:val="20"/>
        </w:rPr>
        <w:t xml:space="preserve">BGH </w:t>
      </w:r>
      <w:r w:rsidRPr="00D8775E">
        <w:rPr>
          <w:rFonts w:ascii="Arial" w:hAnsi="Arial" w:cs="Arial"/>
          <w:color w:val="000000" w:themeColor="text1"/>
          <w:sz w:val="20"/>
          <w:szCs w:val="20"/>
        </w:rPr>
        <w:t>Urteil vom 13.10.2017, Az: V ZR 11/17</w:t>
      </w:r>
    </w:p>
    <w:p w:rsidR="00D8775E" w:rsidRDefault="00D8775E" w:rsidP="00D8775E">
      <w:pPr>
        <w:pStyle w:val="berschrift3"/>
        <w:spacing w:after="0" w:line="240" w:lineRule="auto"/>
        <w:jc w:val="center"/>
        <w:rPr>
          <w:rFonts w:ascii="Arial" w:hAnsi="Arial" w:cs="Arial"/>
          <w:sz w:val="20"/>
          <w:szCs w:val="20"/>
        </w:rPr>
      </w:pPr>
    </w:p>
    <w:p w:rsidR="00D8775E" w:rsidRDefault="00D8775E" w:rsidP="00D8775E">
      <w:pPr>
        <w:pStyle w:val="Listenabsatz"/>
        <w:numPr>
          <w:ilvl w:val="0"/>
          <w:numId w:val="1"/>
        </w:numPr>
        <w:spacing w:after="0" w:line="240" w:lineRule="auto"/>
        <w:ind w:left="567" w:hanging="567"/>
        <w:jc w:val="both"/>
        <w:rPr>
          <w:rFonts w:cs="Arial"/>
          <w:sz w:val="20"/>
          <w:szCs w:val="20"/>
        </w:rPr>
      </w:pPr>
      <w:r w:rsidRPr="00D8775E">
        <w:rPr>
          <w:rFonts w:cs="Arial"/>
          <w:sz w:val="20"/>
          <w:szCs w:val="20"/>
        </w:rPr>
        <w:t>Es stellt keine besonders schwerwiegende Treuepflichtverletzung des (potentiellen) Verkäufers eines Grundstücks dar, wenn er - bei wahrheitsgemäßer Erklärung seiner Abschlussbereitschaft - dem Kaufinteressenten nicht offenbart, dass er sich vorbehält, den Kaufpreis zu erhöhen. Eine Haftung wegen Verschuldens bei Vertragsverhandlungen scheidet deshalb aus.</w:t>
      </w:r>
      <w:r>
        <w:rPr>
          <w:rFonts w:cs="Arial"/>
          <w:sz w:val="20"/>
          <w:szCs w:val="20"/>
        </w:rPr>
        <w:t xml:space="preserve"> </w:t>
      </w:r>
    </w:p>
    <w:p w:rsidR="00D8775E" w:rsidRDefault="00D8775E" w:rsidP="00D8775E">
      <w:pPr>
        <w:pStyle w:val="Listenabsatz"/>
        <w:numPr>
          <w:ilvl w:val="0"/>
          <w:numId w:val="1"/>
        </w:numPr>
        <w:spacing w:after="0" w:line="240" w:lineRule="auto"/>
        <w:ind w:left="567" w:hanging="567"/>
        <w:jc w:val="both"/>
        <w:rPr>
          <w:rFonts w:cs="Arial"/>
          <w:sz w:val="20"/>
          <w:szCs w:val="20"/>
        </w:rPr>
      </w:pPr>
      <w:r w:rsidRPr="00D8775E">
        <w:rPr>
          <w:rFonts w:cs="Arial"/>
          <w:sz w:val="20"/>
          <w:szCs w:val="20"/>
        </w:rPr>
        <w:t>b) Der (potentielle) Verkäufer haftet auch dann nicht auf Schadensersatz, wenn er zu einem Zeitpunkt Abstand von dem Abschluss eines Grundstückskaufvertrages nimmt, zu dem er weiß, dass der Kaufinteressent im Vertrauen auf das Zustandekommen des Vertrages bereits einen Finanzierungsvertrag abgeschlossen hat.</w:t>
      </w:r>
    </w:p>
    <w:p w:rsidR="00D8775E" w:rsidRDefault="00D8775E" w:rsidP="00D8775E">
      <w:pPr>
        <w:spacing w:after="0" w:line="240" w:lineRule="auto"/>
        <w:jc w:val="both"/>
        <w:rPr>
          <w:rFonts w:cs="Arial"/>
          <w:sz w:val="20"/>
          <w:szCs w:val="20"/>
        </w:rPr>
      </w:pPr>
    </w:p>
    <w:p w:rsidR="00D8775E" w:rsidRDefault="00D8775E" w:rsidP="00D8775E">
      <w:pPr>
        <w:spacing w:after="0" w:line="240" w:lineRule="auto"/>
        <w:jc w:val="center"/>
        <w:rPr>
          <w:rFonts w:cs="Arial"/>
          <w:b/>
          <w:sz w:val="20"/>
          <w:szCs w:val="20"/>
        </w:rPr>
      </w:pPr>
      <w:r>
        <w:rPr>
          <w:rFonts w:cs="Arial"/>
          <w:b/>
          <w:sz w:val="20"/>
          <w:szCs w:val="20"/>
        </w:rPr>
        <w:t>V.</w:t>
      </w:r>
    </w:p>
    <w:p w:rsidR="00D8775E" w:rsidRDefault="00D8775E" w:rsidP="00D8775E">
      <w:pPr>
        <w:spacing w:after="0" w:line="240" w:lineRule="auto"/>
        <w:jc w:val="center"/>
        <w:rPr>
          <w:rFonts w:cs="Arial"/>
          <w:b/>
          <w:sz w:val="20"/>
          <w:szCs w:val="20"/>
        </w:rPr>
      </w:pPr>
      <w:r w:rsidRPr="00D8775E">
        <w:rPr>
          <w:rFonts w:cs="Arial"/>
          <w:b/>
          <w:sz w:val="20"/>
          <w:szCs w:val="20"/>
        </w:rPr>
        <w:t>Unwirksame Sicherungsabrede zur Ablösung eines Gewährleistungseinbehalts</w:t>
      </w:r>
    </w:p>
    <w:p w:rsidR="00D8775E" w:rsidRDefault="00D8775E" w:rsidP="00D8775E">
      <w:pPr>
        <w:spacing w:after="0" w:line="240" w:lineRule="auto"/>
        <w:jc w:val="center"/>
        <w:rPr>
          <w:rFonts w:cs="Arial"/>
          <w:sz w:val="20"/>
          <w:szCs w:val="20"/>
        </w:rPr>
      </w:pPr>
      <w:r>
        <w:rPr>
          <w:rFonts w:cs="Arial"/>
          <w:sz w:val="20"/>
          <w:szCs w:val="20"/>
        </w:rPr>
        <w:t xml:space="preserve">BGH </w:t>
      </w:r>
      <w:r w:rsidRPr="00D8775E">
        <w:rPr>
          <w:rFonts w:cs="Arial"/>
          <w:sz w:val="20"/>
          <w:szCs w:val="20"/>
        </w:rPr>
        <w:t>Urteil vom 24.10.2017, Az: XI ZR 600/16</w:t>
      </w:r>
    </w:p>
    <w:p w:rsidR="00D8775E" w:rsidRDefault="00D8775E" w:rsidP="00D8775E">
      <w:pPr>
        <w:spacing w:after="0" w:line="240" w:lineRule="auto"/>
        <w:jc w:val="center"/>
        <w:rPr>
          <w:rFonts w:cs="Arial"/>
          <w:sz w:val="20"/>
          <w:szCs w:val="20"/>
        </w:rPr>
      </w:pPr>
    </w:p>
    <w:p w:rsidR="00D8775E" w:rsidRDefault="00D8775E" w:rsidP="00D8775E">
      <w:pPr>
        <w:spacing w:after="0" w:line="240" w:lineRule="auto"/>
        <w:jc w:val="both"/>
        <w:rPr>
          <w:rFonts w:cs="Arial"/>
          <w:sz w:val="20"/>
          <w:szCs w:val="20"/>
        </w:rPr>
      </w:pPr>
      <w:r w:rsidRPr="00D8775E">
        <w:rPr>
          <w:rFonts w:cs="Arial"/>
          <w:sz w:val="20"/>
          <w:szCs w:val="20"/>
        </w:rPr>
        <w:t xml:space="preserve">Eine in einem Vertrag über Bauleistungen formularmäßig vereinbarte Sicherungsabrede, die es dem Auftragnehmer auferlegt, zur Ablösung eines Gewährleistungseinbehalts eine Bürgschaft mit einem gegenüber dem Bürgen unzulässigen Regelungsinhalt (hier: formularmäßiger Ausschluss der Einrede der Aufrechenbarkeit, der auch unbestrittene oder rechtskräftig festgestellte Forderungen des </w:t>
      </w:r>
      <w:r w:rsidRPr="00D8775E">
        <w:rPr>
          <w:rFonts w:cs="Arial"/>
          <w:sz w:val="20"/>
          <w:szCs w:val="20"/>
        </w:rPr>
        <w:lastRenderedPageBreak/>
        <w:t>Hauptschuldners umfasst) zu stellen, benachteiligt den Auftragnehmer entgegen den Geboten von Treu und Glauben unangemessen und ist nach § 307 Abs. 1 Satz 1 BGB unwirksam.</w:t>
      </w:r>
    </w:p>
    <w:p w:rsidR="00D8775E" w:rsidRDefault="00D8775E" w:rsidP="00D8775E">
      <w:pPr>
        <w:spacing w:after="0" w:line="240" w:lineRule="auto"/>
        <w:jc w:val="both"/>
        <w:rPr>
          <w:rFonts w:cs="Arial"/>
          <w:sz w:val="20"/>
          <w:szCs w:val="20"/>
        </w:rPr>
      </w:pPr>
    </w:p>
    <w:p w:rsidR="00D8775E" w:rsidRDefault="00D8775E" w:rsidP="00D8775E">
      <w:pPr>
        <w:spacing w:after="0" w:line="240" w:lineRule="auto"/>
        <w:jc w:val="center"/>
        <w:rPr>
          <w:rFonts w:cs="Arial"/>
          <w:b/>
          <w:sz w:val="20"/>
          <w:szCs w:val="20"/>
        </w:rPr>
      </w:pPr>
      <w:r>
        <w:rPr>
          <w:rFonts w:cs="Arial"/>
          <w:b/>
          <w:sz w:val="20"/>
          <w:szCs w:val="20"/>
        </w:rPr>
        <w:t>VI.</w:t>
      </w:r>
    </w:p>
    <w:p w:rsidR="00D8775E" w:rsidRDefault="00D8775E" w:rsidP="00D8775E">
      <w:pPr>
        <w:spacing w:after="0" w:line="240" w:lineRule="auto"/>
        <w:jc w:val="center"/>
        <w:rPr>
          <w:rFonts w:cs="Arial"/>
          <w:b/>
          <w:sz w:val="20"/>
          <w:szCs w:val="20"/>
        </w:rPr>
      </w:pPr>
      <w:r w:rsidRPr="00D8775E">
        <w:rPr>
          <w:rFonts w:cs="Arial"/>
          <w:b/>
          <w:sz w:val="20"/>
          <w:szCs w:val="20"/>
        </w:rPr>
        <w:t>Anspruch auf Zahlung Nachtarbeitszuschläge</w:t>
      </w:r>
    </w:p>
    <w:p w:rsidR="00D8775E" w:rsidRDefault="00D8775E" w:rsidP="00D8775E">
      <w:pPr>
        <w:spacing w:after="0" w:line="240" w:lineRule="auto"/>
        <w:jc w:val="center"/>
        <w:rPr>
          <w:rFonts w:cs="Arial"/>
          <w:sz w:val="20"/>
          <w:szCs w:val="20"/>
        </w:rPr>
      </w:pPr>
      <w:r>
        <w:rPr>
          <w:rFonts w:cs="Arial"/>
          <w:sz w:val="20"/>
          <w:szCs w:val="20"/>
        </w:rPr>
        <w:t>LG Hamm Urteil vom 29. November 2017, Az.</w:t>
      </w:r>
      <w:r w:rsidRPr="00D8775E">
        <w:rPr>
          <w:rFonts w:cs="Arial"/>
          <w:sz w:val="20"/>
          <w:szCs w:val="20"/>
        </w:rPr>
        <w:t xml:space="preserve"> 6 Sa 620/17</w:t>
      </w:r>
    </w:p>
    <w:p w:rsidR="00D8775E" w:rsidRDefault="00D8775E" w:rsidP="00D8775E">
      <w:pPr>
        <w:spacing w:after="0" w:line="240" w:lineRule="auto"/>
        <w:jc w:val="center"/>
        <w:rPr>
          <w:rFonts w:cs="Arial"/>
          <w:sz w:val="20"/>
          <w:szCs w:val="20"/>
        </w:rPr>
      </w:pPr>
    </w:p>
    <w:p w:rsidR="00D8775E" w:rsidRPr="00BD569A" w:rsidRDefault="00D8775E" w:rsidP="00BD569A">
      <w:pPr>
        <w:pStyle w:val="Listenabsatz"/>
        <w:numPr>
          <w:ilvl w:val="0"/>
          <w:numId w:val="8"/>
        </w:numPr>
        <w:spacing w:after="0" w:line="240" w:lineRule="auto"/>
        <w:ind w:left="567" w:hanging="567"/>
        <w:jc w:val="both"/>
        <w:rPr>
          <w:rFonts w:cs="Arial"/>
          <w:sz w:val="20"/>
          <w:szCs w:val="20"/>
        </w:rPr>
      </w:pPr>
      <w:r w:rsidRPr="00BD569A">
        <w:rPr>
          <w:rFonts w:cs="Arial"/>
          <w:sz w:val="20"/>
          <w:szCs w:val="20"/>
        </w:rPr>
        <w:t>Bei der Verzugspauschale nach § 288 Abs. 5 BGB handelt es sich nicht um "Kosten" i.S.d. 4 Abs. 1 Halbs. 2 ZPO. Sie ist daher bei Ermittlung des Wertes des Beschwerdegegenstandes nach § 64 Abs. 2 Buchst. b) ArbGG zu berücksichtigen.</w:t>
      </w:r>
    </w:p>
    <w:p w:rsidR="00D8775E" w:rsidRDefault="00D8775E" w:rsidP="00BD569A">
      <w:pPr>
        <w:pStyle w:val="Listenabsatz"/>
        <w:numPr>
          <w:ilvl w:val="0"/>
          <w:numId w:val="8"/>
        </w:numPr>
        <w:spacing w:after="0" w:line="240" w:lineRule="auto"/>
        <w:ind w:left="567" w:hanging="567"/>
        <w:jc w:val="both"/>
        <w:rPr>
          <w:rFonts w:cs="Arial"/>
          <w:sz w:val="20"/>
          <w:szCs w:val="20"/>
        </w:rPr>
      </w:pPr>
      <w:r w:rsidRPr="00BD569A">
        <w:rPr>
          <w:rFonts w:cs="Arial"/>
          <w:sz w:val="20"/>
          <w:szCs w:val="20"/>
        </w:rPr>
        <w:t>"Nachtzuschläge", die für während der Nachtzeit i.S.d. § 2 Abs. 3 ArbZG geleistete Arbeit, die nicht Nachtarbeit i.S.d. § 2 Abs. 4 ArbZG ist, gezahlt werden, beruhen nicht auf einer besonderen gesetzlichen Zweckbestimmung. Sie sind mindestlohnwirksam und können den Mindestlohnanspruch des Arbeitnehmers nach § 1 Abs. 1 MiLoG erfüllen.</w:t>
      </w:r>
    </w:p>
    <w:p w:rsidR="00BD569A" w:rsidRDefault="00BD569A" w:rsidP="00BD569A">
      <w:pPr>
        <w:spacing w:after="0" w:line="240" w:lineRule="auto"/>
        <w:jc w:val="both"/>
        <w:rPr>
          <w:rFonts w:cs="Arial"/>
          <w:sz w:val="20"/>
          <w:szCs w:val="20"/>
        </w:rPr>
      </w:pPr>
    </w:p>
    <w:p w:rsidR="00BD569A" w:rsidRDefault="00BD569A" w:rsidP="00BD569A">
      <w:pPr>
        <w:spacing w:after="0" w:line="240" w:lineRule="auto"/>
        <w:jc w:val="center"/>
        <w:rPr>
          <w:rFonts w:cs="Arial"/>
          <w:b/>
          <w:sz w:val="20"/>
          <w:szCs w:val="20"/>
        </w:rPr>
      </w:pPr>
      <w:r>
        <w:rPr>
          <w:rFonts w:cs="Arial"/>
          <w:b/>
          <w:sz w:val="20"/>
          <w:szCs w:val="20"/>
        </w:rPr>
        <w:t>VII.</w:t>
      </w:r>
    </w:p>
    <w:p w:rsidR="00BD569A" w:rsidRDefault="00BD569A" w:rsidP="00BD569A">
      <w:pPr>
        <w:spacing w:after="0" w:line="240" w:lineRule="auto"/>
        <w:jc w:val="center"/>
        <w:rPr>
          <w:rFonts w:cs="Arial"/>
          <w:b/>
          <w:sz w:val="20"/>
          <w:szCs w:val="20"/>
        </w:rPr>
      </w:pPr>
      <w:r w:rsidRPr="00BD569A">
        <w:rPr>
          <w:rFonts w:cs="Arial"/>
          <w:b/>
          <w:sz w:val="20"/>
          <w:szCs w:val="20"/>
        </w:rPr>
        <w:t>Geforderte Unmittelbarkeit zwischen einer Naturgewalt und dem Schadenseintritt</w:t>
      </w:r>
    </w:p>
    <w:p w:rsidR="00BD569A" w:rsidRDefault="00BD569A" w:rsidP="00BD569A">
      <w:pPr>
        <w:spacing w:after="0" w:line="240" w:lineRule="auto"/>
        <w:jc w:val="center"/>
        <w:rPr>
          <w:rFonts w:cs="Arial"/>
          <w:sz w:val="20"/>
          <w:szCs w:val="20"/>
        </w:rPr>
      </w:pPr>
      <w:r w:rsidRPr="00BD569A">
        <w:rPr>
          <w:rFonts w:cs="Arial"/>
          <w:sz w:val="20"/>
          <w:szCs w:val="20"/>
        </w:rPr>
        <w:t>OLG Dresden, B</w:t>
      </w:r>
      <w:r>
        <w:rPr>
          <w:rFonts w:cs="Arial"/>
          <w:sz w:val="20"/>
          <w:szCs w:val="20"/>
        </w:rPr>
        <w:t>eschluss vom 21. November 2017, Az.</w:t>
      </w:r>
      <w:r w:rsidRPr="00BD569A">
        <w:rPr>
          <w:rFonts w:cs="Arial"/>
          <w:sz w:val="20"/>
          <w:szCs w:val="20"/>
        </w:rPr>
        <w:t xml:space="preserve"> 4 U 1178/17 </w:t>
      </w:r>
    </w:p>
    <w:p w:rsidR="00BD569A" w:rsidRDefault="00BD569A" w:rsidP="00BD569A">
      <w:pPr>
        <w:spacing w:after="0" w:line="240" w:lineRule="auto"/>
        <w:jc w:val="center"/>
        <w:rPr>
          <w:rFonts w:cs="Arial"/>
          <w:sz w:val="20"/>
          <w:szCs w:val="20"/>
        </w:rPr>
      </w:pPr>
    </w:p>
    <w:p w:rsidR="00BD569A" w:rsidRDefault="00BD569A" w:rsidP="00BD569A">
      <w:pPr>
        <w:spacing w:after="0" w:line="240" w:lineRule="auto"/>
        <w:jc w:val="both"/>
        <w:rPr>
          <w:rFonts w:cs="Arial"/>
          <w:sz w:val="20"/>
          <w:szCs w:val="20"/>
        </w:rPr>
      </w:pPr>
      <w:r w:rsidRPr="00BD569A">
        <w:rPr>
          <w:rFonts w:cs="Arial"/>
          <w:sz w:val="20"/>
          <w:szCs w:val="20"/>
        </w:rPr>
        <w:t>Die in der Hausratsversicherung geforderte Unmittelbarkeit zwischen einer Naturgewalt und dem Schadenseintritt ist nicht gegeben, wenn es durch Wassereintritt zu Schimmelbildung kommt, der wiederum eingelagerte Gegenstände beschädigt.</w:t>
      </w:r>
    </w:p>
    <w:p w:rsidR="00BD569A" w:rsidRDefault="00BD569A" w:rsidP="00BD569A">
      <w:pPr>
        <w:spacing w:after="0" w:line="240" w:lineRule="auto"/>
        <w:jc w:val="both"/>
        <w:rPr>
          <w:rFonts w:cs="Arial"/>
          <w:sz w:val="20"/>
          <w:szCs w:val="20"/>
        </w:rPr>
      </w:pPr>
    </w:p>
    <w:p w:rsidR="00BD569A" w:rsidRDefault="00BD569A" w:rsidP="00BD569A">
      <w:pPr>
        <w:spacing w:after="0" w:line="240" w:lineRule="auto"/>
        <w:jc w:val="center"/>
        <w:rPr>
          <w:rFonts w:cs="Arial"/>
          <w:b/>
          <w:sz w:val="20"/>
          <w:szCs w:val="20"/>
        </w:rPr>
      </w:pPr>
      <w:r>
        <w:rPr>
          <w:rFonts w:cs="Arial"/>
          <w:b/>
          <w:sz w:val="20"/>
          <w:szCs w:val="20"/>
        </w:rPr>
        <w:t xml:space="preserve">VIII. </w:t>
      </w:r>
    </w:p>
    <w:p w:rsidR="00BD569A" w:rsidRDefault="00BD569A" w:rsidP="00BD569A">
      <w:pPr>
        <w:spacing w:after="0" w:line="240" w:lineRule="auto"/>
        <w:jc w:val="center"/>
        <w:rPr>
          <w:rFonts w:cs="Arial"/>
          <w:b/>
          <w:sz w:val="20"/>
          <w:szCs w:val="20"/>
        </w:rPr>
      </w:pPr>
      <w:r>
        <w:rPr>
          <w:rFonts w:cs="Arial"/>
          <w:b/>
          <w:sz w:val="20"/>
          <w:szCs w:val="20"/>
        </w:rPr>
        <w:t xml:space="preserve">Verlusts des Fahrzeugs, Zahlung des Kaufpreises für Gebrauchtfahrzeuge </w:t>
      </w:r>
    </w:p>
    <w:p w:rsidR="00BD569A" w:rsidRDefault="00BD569A" w:rsidP="00BD569A">
      <w:pPr>
        <w:spacing w:after="0" w:line="240" w:lineRule="auto"/>
        <w:jc w:val="center"/>
        <w:rPr>
          <w:rFonts w:cs="Arial"/>
          <w:sz w:val="20"/>
          <w:szCs w:val="20"/>
        </w:rPr>
      </w:pPr>
      <w:r w:rsidRPr="00D8775E">
        <w:rPr>
          <w:rFonts w:cs="Arial"/>
          <w:sz w:val="20"/>
          <w:szCs w:val="20"/>
        </w:rPr>
        <w:t>OLG Dresden</w:t>
      </w:r>
      <w:r>
        <w:rPr>
          <w:rFonts w:cs="Arial"/>
          <w:sz w:val="20"/>
          <w:szCs w:val="20"/>
        </w:rPr>
        <w:t xml:space="preserve">, Urteil vom 28. November 2017, Az. </w:t>
      </w:r>
      <w:r w:rsidRPr="00D8775E">
        <w:rPr>
          <w:rFonts w:cs="Arial"/>
          <w:sz w:val="20"/>
          <w:szCs w:val="20"/>
        </w:rPr>
        <w:t>4 U 1002/17</w:t>
      </w:r>
    </w:p>
    <w:p w:rsidR="00BD569A" w:rsidRDefault="00BD569A" w:rsidP="00BD569A">
      <w:pPr>
        <w:spacing w:after="0" w:line="240" w:lineRule="auto"/>
        <w:jc w:val="center"/>
        <w:rPr>
          <w:rFonts w:cs="Arial"/>
          <w:sz w:val="20"/>
          <w:szCs w:val="20"/>
        </w:rPr>
      </w:pPr>
    </w:p>
    <w:p w:rsidR="00BD569A" w:rsidRDefault="00BD569A" w:rsidP="00BD569A">
      <w:pPr>
        <w:spacing w:after="0" w:line="240" w:lineRule="auto"/>
        <w:jc w:val="both"/>
        <w:rPr>
          <w:rFonts w:cs="Arial"/>
          <w:sz w:val="20"/>
          <w:szCs w:val="20"/>
        </w:rPr>
      </w:pPr>
      <w:r w:rsidRPr="00BD569A">
        <w:rPr>
          <w:rFonts w:cs="Arial"/>
          <w:sz w:val="20"/>
          <w:szCs w:val="20"/>
        </w:rPr>
        <w:t>Die AVB einer Kaskoversicherung, wonach die Versicherung im Falle des Verlusts des Fahrzeugs den Kaufpreis für Gebrauchtfahrzeuge zahlt, der durch Rechnung über den Fahrzeugkauf nachzuweisen und auf den von einem Kfz-Sachverständigen anhand der Schwacke-Liste rechnerisch zu ermittelnden Wiederbeschaffungswert begrenzt ist, sind hinreichend transparent im Sinne des § 307 Abs. 1 Satz 2 BGB.</w:t>
      </w:r>
    </w:p>
    <w:p w:rsidR="00BD569A" w:rsidRDefault="00BD569A" w:rsidP="00BD569A">
      <w:pPr>
        <w:spacing w:after="0" w:line="240" w:lineRule="auto"/>
        <w:jc w:val="both"/>
        <w:rPr>
          <w:rFonts w:cs="Arial"/>
          <w:sz w:val="20"/>
          <w:szCs w:val="20"/>
        </w:rPr>
      </w:pPr>
    </w:p>
    <w:p w:rsidR="00BD569A" w:rsidRDefault="00BD569A" w:rsidP="00BD569A">
      <w:pPr>
        <w:spacing w:after="0" w:line="240" w:lineRule="auto"/>
        <w:jc w:val="center"/>
        <w:rPr>
          <w:rFonts w:cs="Arial"/>
          <w:b/>
          <w:sz w:val="20"/>
          <w:szCs w:val="20"/>
        </w:rPr>
      </w:pPr>
      <w:r>
        <w:rPr>
          <w:rFonts w:cs="Arial"/>
          <w:b/>
          <w:sz w:val="20"/>
          <w:szCs w:val="20"/>
        </w:rPr>
        <w:t>IX.</w:t>
      </w:r>
    </w:p>
    <w:p w:rsidR="00BD569A" w:rsidRDefault="00BD569A" w:rsidP="00BD569A">
      <w:pPr>
        <w:spacing w:after="0" w:line="240" w:lineRule="auto"/>
        <w:jc w:val="center"/>
        <w:rPr>
          <w:rFonts w:cs="Arial"/>
          <w:b/>
          <w:sz w:val="20"/>
          <w:szCs w:val="20"/>
        </w:rPr>
      </w:pPr>
      <w:r>
        <w:rPr>
          <w:rFonts w:cs="Arial"/>
          <w:b/>
          <w:sz w:val="20"/>
          <w:szCs w:val="20"/>
        </w:rPr>
        <w:t>Widerruf eines Arbeitszeugnisses</w:t>
      </w:r>
    </w:p>
    <w:p w:rsidR="00BD569A" w:rsidRDefault="00BD569A" w:rsidP="00BD569A">
      <w:pPr>
        <w:spacing w:after="0" w:line="240" w:lineRule="auto"/>
        <w:jc w:val="center"/>
        <w:rPr>
          <w:rFonts w:cs="Arial"/>
          <w:sz w:val="20"/>
          <w:szCs w:val="20"/>
        </w:rPr>
      </w:pPr>
      <w:r w:rsidRPr="00D8775E">
        <w:rPr>
          <w:rFonts w:cs="Arial"/>
          <w:sz w:val="20"/>
          <w:szCs w:val="20"/>
        </w:rPr>
        <w:t>Landesarbeitsgericht Schleswig-Holstein</w:t>
      </w:r>
      <w:r>
        <w:rPr>
          <w:rFonts w:cs="Arial"/>
          <w:sz w:val="20"/>
          <w:szCs w:val="20"/>
        </w:rPr>
        <w:t xml:space="preserve">, Urteil vom 17. Oktober 2017, Az. </w:t>
      </w:r>
      <w:r w:rsidRPr="00D8775E">
        <w:rPr>
          <w:rFonts w:cs="Arial"/>
          <w:sz w:val="20"/>
          <w:szCs w:val="20"/>
        </w:rPr>
        <w:t>1 Sa 228/17 </w:t>
      </w:r>
    </w:p>
    <w:p w:rsidR="00BD569A" w:rsidRDefault="00BD569A" w:rsidP="00BD569A">
      <w:pPr>
        <w:spacing w:after="0" w:line="240" w:lineRule="auto"/>
        <w:jc w:val="center"/>
        <w:rPr>
          <w:rFonts w:cs="Arial"/>
          <w:sz w:val="20"/>
          <w:szCs w:val="20"/>
        </w:rPr>
      </w:pPr>
    </w:p>
    <w:p w:rsidR="00BD569A" w:rsidRPr="00BD569A" w:rsidRDefault="00BD569A" w:rsidP="005F45AF">
      <w:pPr>
        <w:pStyle w:val="Listenabsatz"/>
        <w:numPr>
          <w:ilvl w:val="0"/>
          <w:numId w:val="10"/>
        </w:numPr>
        <w:spacing w:after="0" w:line="240" w:lineRule="auto"/>
        <w:ind w:left="567" w:hanging="567"/>
        <w:jc w:val="both"/>
        <w:rPr>
          <w:rFonts w:cs="Arial"/>
          <w:sz w:val="20"/>
          <w:szCs w:val="20"/>
        </w:rPr>
      </w:pPr>
      <w:r w:rsidRPr="00BD569A">
        <w:rPr>
          <w:rFonts w:cs="Arial"/>
          <w:sz w:val="20"/>
          <w:szCs w:val="20"/>
        </w:rPr>
        <w:t>Der Arbeitgeber kann ein bereits erteiltes Arbeitszeugnis widerrufen und dessen Rückgabe verlangen, wenn ihm nachträglich Tatsachen bekannt werden, die eine andere Beurteilung rechtfertigen würden und für einen zukünftigen Arbeitgeber von ausschlaggebender Bedeutung bei der Einstellungsentscheidung sein könnten. Bereits vorliegende Erkenntnisse der organschaftlichen oder rechtsgeschäftlichen Vertreter des Arbeitgebers bei der Zeugniserteilung muss er sich dabei zurechnen lassen.</w:t>
      </w:r>
    </w:p>
    <w:p w:rsidR="00BD569A" w:rsidRPr="00BD569A" w:rsidRDefault="00BD569A" w:rsidP="00BD569A">
      <w:pPr>
        <w:pStyle w:val="Listenabsatz"/>
        <w:numPr>
          <w:ilvl w:val="0"/>
          <w:numId w:val="10"/>
        </w:numPr>
        <w:spacing w:after="0" w:line="240" w:lineRule="auto"/>
        <w:ind w:left="567" w:hanging="567"/>
        <w:jc w:val="both"/>
        <w:rPr>
          <w:rFonts w:cs="Arial"/>
          <w:sz w:val="20"/>
          <w:szCs w:val="20"/>
        </w:rPr>
      </w:pPr>
      <w:r w:rsidRPr="00BD569A">
        <w:rPr>
          <w:rFonts w:cs="Arial"/>
          <w:sz w:val="20"/>
          <w:szCs w:val="20"/>
        </w:rPr>
        <w:t>Daneben ist der Widerruf eines Zeugnisses auch möglich, wenn der Arbeitnehmer in Kenntnis der Zuständigkeiten für die Zeugniserteilung (Dienstweg) gezielt die Unkenntnis eines organschaftlichen Vertreters über maßgebliche Umstände für die Zeugniserteilung ausnutzt und sich dieses Vorgehen des Arbeitnehmers in einer Gesamtschau als treuwidrig darstellt.</w:t>
      </w:r>
    </w:p>
    <w:p w:rsidR="0053147D" w:rsidRDefault="0053147D" w:rsidP="00D8775E">
      <w:pPr>
        <w:spacing w:after="0" w:line="360" w:lineRule="auto"/>
        <w:jc w:val="both"/>
        <w:rPr>
          <w:rFonts w:cs="Arial"/>
          <w:sz w:val="20"/>
          <w:szCs w:val="20"/>
        </w:rPr>
      </w:pPr>
    </w:p>
    <w:p w:rsidR="001E21ED" w:rsidRDefault="001D7967" w:rsidP="001D7967">
      <w:pPr>
        <w:spacing w:after="0" w:line="240" w:lineRule="auto"/>
        <w:jc w:val="center"/>
        <w:rPr>
          <w:rFonts w:cs="Arial"/>
          <w:b/>
          <w:sz w:val="20"/>
          <w:szCs w:val="20"/>
        </w:rPr>
      </w:pPr>
      <w:r w:rsidRPr="001D7967">
        <w:rPr>
          <w:rFonts w:cs="Arial"/>
          <w:b/>
          <w:sz w:val="20"/>
          <w:szCs w:val="20"/>
        </w:rPr>
        <w:t>X.</w:t>
      </w:r>
    </w:p>
    <w:p w:rsidR="001D7967" w:rsidRDefault="001D7967" w:rsidP="001D7967">
      <w:pPr>
        <w:spacing w:after="0" w:line="240" w:lineRule="auto"/>
        <w:jc w:val="center"/>
        <w:rPr>
          <w:rFonts w:cs="Arial"/>
          <w:b/>
          <w:sz w:val="20"/>
          <w:szCs w:val="20"/>
        </w:rPr>
      </w:pPr>
      <w:r w:rsidRPr="001D7967">
        <w:rPr>
          <w:rFonts w:cs="Arial"/>
          <w:b/>
          <w:sz w:val="20"/>
          <w:szCs w:val="20"/>
        </w:rPr>
        <w:t>"Meisterzwang" ist auch für das Zahntechnikerhandwerk verfassungsmäßig</w:t>
      </w:r>
    </w:p>
    <w:p w:rsidR="001D7967" w:rsidRPr="001D7967" w:rsidRDefault="001D7967" w:rsidP="001D7967">
      <w:pPr>
        <w:spacing w:after="0" w:line="240" w:lineRule="auto"/>
        <w:jc w:val="center"/>
        <w:rPr>
          <w:rFonts w:cs="Arial"/>
          <w:sz w:val="20"/>
          <w:szCs w:val="20"/>
        </w:rPr>
      </w:pPr>
      <w:r w:rsidRPr="001D7967">
        <w:rPr>
          <w:rFonts w:cs="Arial"/>
          <w:sz w:val="20"/>
          <w:szCs w:val="20"/>
        </w:rPr>
        <w:t>Oberverwaltungsgericht für das Land Nord</w:t>
      </w:r>
      <w:r>
        <w:rPr>
          <w:rFonts w:cs="Arial"/>
          <w:sz w:val="20"/>
          <w:szCs w:val="20"/>
        </w:rPr>
        <w:t>rhein-Westfalen, Urteil vom 20.11.</w:t>
      </w:r>
      <w:r w:rsidRPr="001D7967">
        <w:rPr>
          <w:rFonts w:cs="Arial"/>
          <w:sz w:val="20"/>
          <w:szCs w:val="20"/>
        </w:rPr>
        <w:t>2017</w:t>
      </w:r>
      <w:r>
        <w:rPr>
          <w:rFonts w:cs="Arial"/>
          <w:sz w:val="20"/>
          <w:szCs w:val="20"/>
        </w:rPr>
        <w:t>, Az.</w:t>
      </w:r>
      <w:r w:rsidRPr="001D7967">
        <w:rPr>
          <w:rFonts w:cs="Arial"/>
          <w:sz w:val="20"/>
          <w:szCs w:val="20"/>
        </w:rPr>
        <w:t xml:space="preserve"> 4 A</w:t>
      </w:r>
      <w:r w:rsidRPr="001D7967">
        <w:rPr>
          <w:rFonts w:cs="Arial"/>
          <w:b/>
          <w:sz w:val="20"/>
          <w:szCs w:val="20"/>
        </w:rPr>
        <w:t xml:space="preserve"> </w:t>
      </w:r>
      <w:r w:rsidRPr="001D7967">
        <w:rPr>
          <w:rFonts w:cs="Arial"/>
          <w:sz w:val="20"/>
          <w:szCs w:val="20"/>
        </w:rPr>
        <w:t>1113/13</w:t>
      </w:r>
    </w:p>
    <w:p w:rsidR="001E21ED" w:rsidRDefault="001E21ED" w:rsidP="00D8775E">
      <w:pPr>
        <w:spacing w:after="0" w:line="360" w:lineRule="auto"/>
        <w:jc w:val="both"/>
        <w:rPr>
          <w:rFonts w:cs="Arial"/>
          <w:sz w:val="20"/>
          <w:szCs w:val="20"/>
        </w:rPr>
      </w:pPr>
    </w:p>
    <w:p w:rsidR="001D7967" w:rsidRDefault="001D7967" w:rsidP="001D7967">
      <w:pPr>
        <w:spacing w:after="0" w:line="240" w:lineRule="auto"/>
        <w:jc w:val="both"/>
        <w:rPr>
          <w:rFonts w:cs="Arial"/>
          <w:sz w:val="20"/>
          <w:szCs w:val="20"/>
        </w:rPr>
      </w:pPr>
      <w:r w:rsidRPr="001D7967">
        <w:rPr>
          <w:rFonts w:cs="Arial"/>
          <w:sz w:val="20"/>
          <w:szCs w:val="20"/>
        </w:rPr>
        <w:t>Die Regelungen der Handwerksordnung, die den selbstständigen Betrieb des Zahntechnikerhandwerks im stehenden Gewerbe nur den in der Handwerksrolle eingetragenen natürlichen oder juristischen Personen und Personengesellschaften gestatten und diese Eintragung im Regelfall vom Bestehen der Meisterprüfung abhängig machen, begegnen keinen durchgreifenden verfassungsrechtlichen Zweifeln.</w:t>
      </w:r>
    </w:p>
    <w:p w:rsidR="001D7967" w:rsidRDefault="001D7967" w:rsidP="00D8775E">
      <w:pPr>
        <w:spacing w:after="0" w:line="360" w:lineRule="auto"/>
        <w:jc w:val="both"/>
        <w:rPr>
          <w:rFonts w:cs="Arial"/>
          <w:sz w:val="20"/>
          <w:szCs w:val="20"/>
        </w:rPr>
      </w:pPr>
    </w:p>
    <w:p w:rsidR="001D7967" w:rsidRDefault="001D7967" w:rsidP="00D8775E">
      <w:pPr>
        <w:spacing w:after="0" w:line="360" w:lineRule="auto"/>
        <w:jc w:val="both"/>
        <w:rPr>
          <w:rFonts w:cs="Arial"/>
          <w:sz w:val="20"/>
          <w:szCs w:val="20"/>
        </w:rPr>
      </w:pPr>
    </w:p>
    <w:p w:rsidR="001D7967" w:rsidRPr="001D7967" w:rsidRDefault="001D7967" w:rsidP="001D7967">
      <w:pPr>
        <w:spacing w:after="0" w:line="240" w:lineRule="auto"/>
        <w:rPr>
          <w:sz w:val="20"/>
          <w:szCs w:val="20"/>
        </w:rPr>
      </w:pPr>
      <w:r w:rsidRPr="001D7967">
        <w:rPr>
          <w:sz w:val="20"/>
          <w:szCs w:val="20"/>
        </w:rPr>
        <w:t>Für Rückfragen stehe ich Ihnen gerne zur Verfügung.</w:t>
      </w:r>
    </w:p>
    <w:p w:rsidR="001D7967" w:rsidRPr="001D7967" w:rsidRDefault="001D7967" w:rsidP="001D7967">
      <w:pPr>
        <w:spacing w:after="0" w:line="240" w:lineRule="auto"/>
        <w:rPr>
          <w:sz w:val="20"/>
          <w:szCs w:val="20"/>
        </w:rPr>
      </w:pPr>
    </w:p>
    <w:p w:rsidR="001D7967" w:rsidRPr="001D7967" w:rsidRDefault="001D7967" w:rsidP="001D7967">
      <w:pPr>
        <w:spacing w:after="0" w:line="240" w:lineRule="auto"/>
        <w:rPr>
          <w:sz w:val="20"/>
          <w:szCs w:val="20"/>
        </w:rPr>
      </w:pPr>
      <w:r w:rsidRPr="001D7967">
        <w:rPr>
          <w:sz w:val="20"/>
          <w:szCs w:val="20"/>
        </w:rPr>
        <w:t>Michael Henn</w:t>
      </w:r>
    </w:p>
    <w:p w:rsidR="001D7967" w:rsidRPr="001D7967" w:rsidRDefault="001D7967" w:rsidP="001D7967">
      <w:pPr>
        <w:spacing w:after="0" w:line="240" w:lineRule="auto"/>
        <w:rPr>
          <w:sz w:val="20"/>
          <w:szCs w:val="20"/>
        </w:rPr>
      </w:pPr>
      <w:r w:rsidRPr="001D7967">
        <w:rPr>
          <w:sz w:val="20"/>
          <w:szCs w:val="20"/>
        </w:rPr>
        <w:t>Rechtsanwalt</w:t>
      </w:r>
    </w:p>
    <w:p w:rsidR="001D7967" w:rsidRPr="001D7967" w:rsidRDefault="001D7967" w:rsidP="001D7967">
      <w:pPr>
        <w:spacing w:after="0" w:line="240" w:lineRule="auto"/>
        <w:rPr>
          <w:sz w:val="20"/>
          <w:szCs w:val="20"/>
        </w:rPr>
      </w:pPr>
      <w:r w:rsidRPr="001D7967">
        <w:rPr>
          <w:sz w:val="20"/>
          <w:szCs w:val="20"/>
        </w:rPr>
        <w:t>Fachanwalt für Erbrecht</w:t>
      </w:r>
    </w:p>
    <w:p w:rsidR="001D7967" w:rsidRPr="001D7967" w:rsidRDefault="001D7967" w:rsidP="001D7967">
      <w:pPr>
        <w:spacing w:after="0" w:line="240" w:lineRule="auto"/>
        <w:rPr>
          <w:sz w:val="20"/>
          <w:szCs w:val="20"/>
        </w:rPr>
      </w:pPr>
      <w:r w:rsidRPr="001D7967">
        <w:rPr>
          <w:sz w:val="20"/>
          <w:szCs w:val="20"/>
        </w:rPr>
        <w:t xml:space="preserve">Fachanwalt für Arbeitsrecht </w:t>
      </w:r>
    </w:p>
    <w:p w:rsidR="001D7967" w:rsidRPr="001D7967" w:rsidRDefault="001D7967" w:rsidP="001D7967">
      <w:pPr>
        <w:spacing w:after="0" w:line="240" w:lineRule="auto"/>
        <w:rPr>
          <w:sz w:val="20"/>
          <w:szCs w:val="20"/>
        </w:rPr>
      </w:pPr>
      <w:r w:rsidRPr="001D7967">
        <w:rPr>
          <w:sz w:val="20"/>
          <w:szCs w:val="20"/>
        </w:rPr>
        <w:t xml:space="preserve">Schriftleiter mittelstandsdepesche </w:t>
      </w:r>
    </w:p>
    <w:p w:rsidR="001D7967" w:rsidRPr="001D7967" w:rsidRDefault="001D7967" w:rsidP="001D7967">
      <w:pPr>
        <w:spacing w:after="0" w:line="240" w:lineRule="auto"/>
        <w:rPr>
          <w:sz w:val="20"/>
          <w:szCs w:val="20"/>
        </w:rPr>
      </w:pPr>
      <w:r w:rsidRPr="001D7967">
        <w:rPr>
          <w:sz w:val="20"/>
          <w:szCs w:val="20"/>
        </w:rPr>
        <w:t>Rechtsanwälte Dr. Gaupp &amp; Coll.</w:t>
      </w:r>
    </w:p>
    <w:p w:rsidR="001D7967" w:rsidRPr="001D7967" w:rsidRDefault="001D7967" w:rsidP="001D7967">
      <w:pPr>
        <w:spacing w:after="0" w:line="240" w:lineRule="auto"/>
        <w:rPr>
          <w:sz w:val="20"/>
          <w:szCs w:val="20"/>
        </w:rPr>
      </w:pPr>
      <w:r w:rsidRPr="001D7967">
        <w:rPr>
          <w:sz w:val="20"/>
          <w:szCs w:val="20"/>
        </w:rPr>
        <w:t xml:space="preserve">Kronprinzstr. 14 </w:t>
      </w:r>
    </w:p>
    <w:p w:rsidR="001D7967" w:rsidRPr="001D7967" w:rsidRDefault="001D7967" w:rsidP="001D7967">
      <w:pPr>
        <w:spacing w:after="0" w:line="240" w:lineRule="auto"/>
        <w:rPr>
          <w:sz w:val="20"/>
          <w:szCs w:val="20"/>
        </w:rPr>
      </w:pPr>
      <w:r w:rsidRPr="001D7967">
        <w:rPr>
          <w:sz w:val="20"/>
          <w:szCs w:val="20"/>
        </w:rPr>
        <w:t>70173 Stuttgart</w:t>
      </w:r>
    </w:p>
    <w:p w:rsidR="001D7967" w:rsidRPr="001D7967" w:rsidRDefault="001D7967" w:rsidP="001D7967">
      <w:pPr>
        <w:spacing w:after="0" w:line="240" w:lineRule="auto"/>
        <w:rPr>
          <w:sz w:val="20"/>
          <w:szCs w:val="20"/>
        </w:rPr>
      </w:pPr>
      <w:r w:rsidRPr="001D7967">
        <w:rPr>
          <w:sz w:val="20"/>
          <w:szCs w:val="20"/>
        </w:rPr>
        <w:t>Tel.: 0711/ 30 58 93-0</w:t>
      </w:r>
      <w:r w:rsidRPr="001D7967">
        <w:rPr>
          <w:sz w:val="20"/>
          <w:szCs w:val="20"/>
        </w:rPr>
        <w:tab/>
      </w:r>
      <w:r w:rsidRPr="001D7967">
        <w:rPr>
          <w:sz w:val="20"/>
          <w:szCs w:val="20"/>
        </w:rPr>
        <w:tab/>
        <w:t>Fax: 0711/ 30 58 93-11</w:t>
      </w:r>
    </w:p>
    <w:p w:rsidR="001D7967" w:rsidRPr="001D7967" w:rsidRDefault="001D7967" w:rsidP="001D7967">
      <w:pPr>
        <w:spacing w:after="0" w:line="240" w:lineRule="auto"/>
        <w:rPr>
          <w:sz w:val="20"/>
          <w:szCs w:val="20"/>
        </w:rPr>
      </w:pPr>
      <w:r w:rsidRPr="001D7967">
        <w:rPr>
          <w:sz w:val="20"/>
          <w:szCs w:val="20"/>
        </w:rPr>
        <w:t>e-Mail: henn@drgaupp.de</w:t>
      </w:r>
      <w:r w:rsidRPr="001D7967">
        <w:rPr>
          <w:sz w:val="20"/>
          <w:szCs w:val="20"/>
        </w:rPr>
        <w:tab/>
        <w:t>www.drgaupp.de</w:t>
      </w:r>
    </w:p>
    <w:p w:rsidR="001D7967" w:rsidRPr="001D7967" w:rsidRDefault="001D7967" w:rsidP="001D7967">
      <w:pPr>
        <w:spacing w:after="0" w:line="240" w:lineRule="auto"/>
        <w:rPr>
          <w:sz w:val="20"/>
          <w:szCs w:val="20"/>
        </w:rPr>
      </w:pPr>
    </w:p>
    <w:p w:rsidR="001D7967" w:rsidRPr="001D7967" w:rsidRDefault="001D7967" w:rsidP="001D7967">
      <w:pPr>
        <w:spacing w:after="0" w:line="240" w:lineRule="auto"/>
        <w:rPr>
          <w:sz w:val="20"/>
          <w:szCs w:val="20"/>
        </w:rPr>
      </w:pPr>
    </w:p>
    <w:p w:rsidR="001D7967" w:rsidRPr="001D7967" w:rsidRDefault="001D7967" w:rsidP="001D7967">
      <w:pPr>
        <w:spacing w:after="0" w:line="240" w:lineRule="auto"/>
        <w:rPr>
          <w:sz w:val="20"/>
          <w:szCs w:val="20"/>
        </w:rPr>
      </w:pPr>
    </w:p>
    <w:p w:rsidR="001E21ED" w:rsidRPr="00D8775E" w:rsidRDefault="001E21ED" w:rsidP="00D8775E">
      <w:pPr>
        <w:spacing w:after="0" w:line="360" w:lineRule="auto"/>
        <w:jc w:val="both"/>
        <w:rPr>
          <w:rFonts w:cs="Arial"/>
          <w:sz w:val="20"/>
          <w:szCs w:val="20"/>
        </w:rPr>
      </w:pPr>
    </w:p>
    <w:sectPr w:rsidR="001E21ED" w:rsidRPr="00D8775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A6" w:rsidRDefault="00604AA6" w:rsidP="00D8775E">
      <w:pPr>
        <w:spacing w:after="0" w:line="240" w:lineRule="auto"/>
      </w:pPr>
      <w:r>
        <w:separator/>
      </w:r>
    </w:p>
  </w:endnote>
  <w:endnote w:type="continuationSeparator" w:id="0">
    <w:p w:rsidR="00604AA6" w:rsidRDefault="00604AA6" w:rsidP="00D8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A6" w:rsidRDefault="00604AA6" w:rsidP="00D8775E">
      <w:pPr>
        <w:spacing w:after="0" w:line="240" w:lineRule="auto"/>
      </w:pPr>
      <w:r>
        <w:separator/>
      </w:r>
    </w:p>
  </w:footnote>
  <w:footnote w:type="continuationSeparator" w:id="0">
    <w:p w:rsidR="00604AA6" w:rsidRDefault="00604AA6" w:rsidP="00D8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75E" w:rsidRPr="00852CC4" w:rsidRDefault="00D8775E" w:rsidP="00D8775E">
    <w:pPr>
      <w:tabs>
        <w:tab w:val="center" w:pos="4819"/>
        <w:tab w:val="right" w:pos="9071"/>
      </w:tabs>
      <w:jc w:val="center"/>
      <w:rPr>
        <w:rFonts w:cs="Arial"/>
        <w:szCs w:val="20"/>
        <w:lang w:eastAsia="de-DE"/>
      </w:rPr>
    </w:pPr>
    <w:r w:rsidRPr="00852CC4">
      <w:rPr>
        <w:rFonts w:cs="Arial"/>
        <w:b/>
        <w:bCs/>
        <w:sz w:val="28"/>
        <w:szCs w:val="28"/>
        <w:lang w:eastAsia="de-DE"/>
      </w:rPr>
      <w:t>mittelstandsdepesche 1</w:t>
    </w:r>
    <w:r>
      <w:rPr>
        <w:rFonts w:cs="Arial"/>
        <w:b/>
        <w:bCs/>
        <w:sz w:val="28"/>
        <w:szCs w:val="28"/>
        <w:lang w:eastAsia="de-DE"/>
      </w:rPr>
      <w:t>2</w:t>
    </w:r>
    <w:r w:rsidRPr="00852CC4">
      <w:rPr>
        <w:rFonts w:cs="Arial"/>
        <w:b/>
        <w:bCs/>
        <w:sz w:val="28"/>
        <w:szCs w:val="28"/>
        <w:lang w:eastAsia="de-DE"/>
      </w:rPr>
      <w:t>-2017</w:t>
    </w:r>
  </w:p>
  <w:p w:rsidR="00D8775E" w:rsidRDefault="00D877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92CD7"/>
    <w:multiLevelType w:val="multilevel"/>
    <w:tmpl w:val="E362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85A32"/>
    <w:multiLevelType w:val="hybridMultilevel"/>
    <w:tmpl w:val="F3B85B30"/>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2243208E"/>
    <w:multiLevelType w:val="multilevel"/>
    <w:tmpl w:val="1E5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66F59"/>
    <w:multiLevelType w:val="multilevel"/>
    <w:tmpl w:val="D21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E7D6C"/>
    <w:multiLevelType w:val="hybridMultilevel"/>
    <w:tmpl w:val="E2A43912"/>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5E913641"/>
    <w:multiLevelType w:val="hybridMultilevel"/>
    <w:tmpl w:val="D754435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61FA72BE"/>
    <w:multiLevelType w:val="multilevel"/>
    <w:tmpl w:val="8742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346FD"/>
    <w:multiLevelType w:val="multilevel"/>
    <w:tmpl w:val="17B6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A693F"/>
    <w:multiLevelType w:val="hybridMultilevel"/>
    <w:tmpl w:val="ABC2DEC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720033F0"/>
    <w:multiLevelType w:val="multilevel"/>
    <w:tmpl w:val="9B06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154DB"/>
    <w:multiLevelType w:val="hybridMultilevel"/>
    <w:tmpl w:val="083C3BAA"/>
    <w:lvl w:ilvl="0" w:tplc="40DEFA18">
      <w:start w:val="1"/>
      <w:numFmt w:val="lowerLetter"/>
      <w:lvlText w:val="%1)"/>
      <w:lvlJc w:val="left"/>
      <w:pPr>
        <w:ind w:left="720" w:hanging="360"/>
      </w:pPr>
      <w:rPr>
        <w:rFonts w:cs="Arial" w:hint="default"/>
        <w:sz w:val="2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2"/>
  </w:num>
  <w:num w:numId="4">
    <w:abstractNumId w:val="6"/>
  </w:num>
  <w:num w:numId="5">
    <w:abstractNumId w:val="0"/>
  </w:num>
  <w:num w:numId="6">
    <w:abstractNumId w:val="9"/>
  </w:num>
  <w:num w:numId="7">
    <w:abstractNumId w:val="1"/>
  </w:num>
  <w:num w:numId="8">
    <w:abstractNumId w:val="8"/>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AF"/>
    <w:rsid w:val="00064B30"/>
    <w:rsid w:val="001D7967"/>
    <w:rsid w:val="001E21ED"/>
    <w:rsid w:val="002545BA"/>
    <w:rsid w:val="00342C16"/>
    <w:rsid w:val="003E219F"/>
    <w:rsid w:val="0053147D"/>
    <w:rsid w:val="005F45AF"/>
    <w:rsid w:val="00604AA6"/>
    <w:rsid w:val="00626B48"/>
    <w:rsid w:val="00745A1B"/>
    <w:rsid w:val="00852CC4"/>
    <w:rsid w:val="009F18C6"/>
    <w:rsid w:val="00A1032E"/>
    <w:rsid w:val="00B94A82"/>
    <w:rsid w:val="00BD569A"/>
    <w:rsid w:val="00C603C8"/>
    <w:rsid w:val="00C734AF"/>
    <w:rsid w:val="00D32887"/>
    <w:rsid w:val="00D46A08"/>
    <w:rsid w:val="00D779CE"/>
    <w:rsid w:val="00D8775E"/>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5A2F09-84C4-49D5-ACD7-9AC5420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2">
    <w:name w:val="heading 2"/>
    <w:basedOn w:val="Standard"/>
    <w:next w:val="Standard"/>
    <w:link w:val="berschrift2Zchn"/>
    <w:uiPriority w:val="9"/>
    <w:semiHidden/>
    <w:unhideWhenUsed/>
    <w:qFormat/>
    <w:rsid w:val="0053147D"/>
    <w:pPr>
      <w:keepNext/>
      <w:keepLines/>
      <w:spacing w:before="40" w:after="0"/>
      <w:outlineLvl w:val="1"/>
    </w:pPr>
    <w:rPr>
      <w:rFonts w:asciiTheme="majorHAnsi" w:eastAsiaTheme="majorEastAsia" w:hAnsiTheme="majorHAnsi"/>
      <w:color w:val="2E74B5" w:themeColor="accent1" w:themeShade="BF"/>
      <w:sz w:val="26"/>
      <w:szCs w:val="26"/>
    </w:rPr>
  </w:style>
  <w:style w:type="paragraph" w:styleId="berschrift3">
    <w:name w:val="heading 3"/>
    <w:basedOn w:val="Standard"/>
    <w:link w:val="berschrift3Zchn"/>
    <w:uiPriority w:val="9"/>
    <w:semiHidden/>
    <w:unhideWhenUsed/>
    <w:qFormat/>
    <w:rsid w:val="00C734AF"/>
    <w:pPr>
      <w:spacing w:after="75" w:line="240" w:lineRule="atLeast"/>
      <w:outlineLvl w:val="2"/>
    </w:pPr>
    <w:rPr>
      <w:rFonts w:ascii="Times New Roman" w:hAnsi="Times New Roman"/>
      <w:b/>
      <w:bCs/>
      <w:sz w:val="24"/>
      <w:szCs w:val="24"/>
      <w:lang w:eastAsia="de-DE"/>
    </w:rPr>
  </w:style>
  <w:style w:type="paragraph" w:styleId="berschrift4">
    <w:name w:val="heading 4"/>
    <w:basedOn w:val="Standard"/>
    <w:link w:val="berschrift4Zchn"/>
    <w:uiPriority w:val="9"/>
    <w:semiHidden/>
    <w:unhideWhenUsed/>
    <w:qFormat/>
    <w:rsid w:val="00C734AF"/>
    <w:pPr>
      <w:spacing w:after="150" w:line="240" w:lineRule="auto"/>
      <w:outlineLvl w:val="3"/>
    </w:pPr>
    <w:rPr>
      <w:rFonts w:ascii="Times New Roman" w:hAnsi="Times New Roman"/>
      <w:color w:val="666666"/>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sid w:val="0053147D"/>
    <w:rPr>
      <w:rFonts w:asciiTheme="majorHAnsi" w:eastAsiaTheme="majorEastAsia" w:hAnsiTheme="majorHAnsi" w:cs="Times New Roman"/>
      <w:color w:val="2E74B5" w:themeColor="accent1" w:themeShade="BF"/>
      <w:sz w:val="26"/>
      <w:szCs w:val="26"/>
    </w:rPr>
  </w:style>
  <w:style w:type="character" w:customStyle="1" w:styleId="berschrift3Zchn">
    <w:name w:val="Überschrift 3 Zchn"/>
    <w:basedOn w:val="Absatz-Standardschriftart"/>
    <w:link w:val="berschrift3"/>
    <w:uiPriority w:val="9"/>
    <w:semiHidden/>
    <w:locked/>
    <w:rsid w:val="00C734AF"/>
    <w:rPr>
      <w:rFonts w:ascii="Times New Roman" w:hAnsi="Times New Roman" w:cs="Times New Roman"/>
      <w:b/>
      <w:bCs/>
      <w:sz w:val="24"/>
      <w:szCs w:val="24"/>
      <w:lang w:val="x-none" w:eastAsia="de-DE"/>
    </w:rPr>
  </w:style>
  <w:style w:type="character" w:customStyle="1" w:styleId="berschrift4Zchn">
    <w:name w:val="Überschrift 4 Zchn"/>
    <w:basedOn w:val="Absatz-Standardschriftart"/>
    <w:link w:val="berschrift4"/>
    <w:uiPriority w:val="9"/>
    <w:semiHidden/>
    <w:locked/>
    <w:rsid w:val="00C734AF"/>
    <w:rPr>
      <w:rFonts w:ascii="Times New Roman" w:hAnsi="Times New Roman" w:cs="Times New Roman"/>
      <w:color w:val="666666"/>
      <w:sz w:val="21"/>
      <w:szCs w:val="21"/>
      <w:lang w:val="x-none" w:eastAsia="de-DE"/>
    </w:rPr>
  </w:style>
  <w:style w:type="paragraph" w:styleId="Listenabsatz">
    <w:name w:val="List Paragraph"/>
    <w:basedOn w:val="Standard"/>
    <w:uiPriority w:val="34"/>
    <w:qFormat/>
    <w:rsid w:val="002545BA"/>
    <w:pPr>
      <w:ind w:left="720"/>
      <w:contextualSpacing/>
    </w:pPr>
  </w:style>
  <w:style w:type="character" w:styleId="Fett">
    <w:name w:val="Strong"/>
    <w:basedOn w:val="Absatz-Standardschriftart"/>
    <w:uiPriority w:val="22"/>
    <w:qFormat/>
    <w:rsid w:val="0053147D"/>
    <w:rPr>
      <w:rFonts w:cs="Times New Roman"/>
      <w:b/>
      <w:bCs/>
    </w:rPr>
  </w:style>
  <w:style w:type="character" w:styleId="Hyperlink">
    <w:name w:val="Hyperlink"/>
    <w:basedOn w:val="Absatz-Standardschriftart"/>
    <w:uiPriority w:val="99"/>
    <w:semiHidden/>
    <w:unhideWhenUsed/>
    <w:rsid w:val="0053147D"/>
    <w:rPr>
      <w:rFonts w:cs="Times New Roman"/>
      <w:color w:val="0000FF"/>
      <w:u w:val="single"/>
    </w:rPr>
  </w:style>
  <w:style w:type="character" w:customStyle="1" w:styleId="doclink">
    <w:name w:val="doclink"/>
    <w:basedOn w:val="Absatz-Standardschriftart"/>
    <w:rsid w:val="0053147D"/>
    <w:rPr>
      <w:rFonts w:cs="Times New Roman"/>
    </w:rPr>
  </w:style>
  <w:style w:type="paragraph" w:styleId="StandardWeb">
    <w:name w:val="Normal (Web)"/>
    <w:basedOn w:val="Standard"/>
    <w:uiPriority w:val="99"/>
    <w:semiHidden/>
    <w:unhideWhenUsed/>
    <w:rsid w:val="0053147D"/>
    <w:pPr>
      <w:spacing w:before="100" w:beforeAutospacing="1" w:after="100" w:afterAutospacing="1" w:line="240" w:lineRule="auto"/>
    </w:pPr>
    <w:rPr>
      <w:rFonts w:ascii="Times New Roman" w:hAnsi="Times New Roman"/>
      <w:sz w:val="24"/>
      <w:szCs w:val="24"/>
      <w:lang w:eastAsia="de-DE"/>
    </w:rPr>
  </w:style>
  <w:style w:type="character" w:customStyle="1" w:styleId="doclayoutpermalinkemphasize">
    <w:name w:val="doclayoutpermalinkemphasize"/>
    <w:basedOn w:val="Absatz-Standardschriftart"/>
    <w:rsid w:val="0053147D"/>
    <w:rPr>
      <w:rFonts w:cs="Times New Roman"/>
    </w:rPr>
  </w:style>
  <w:style w:type="character" w:customStyle="1" w:styleId="doclayoutpermalinkitemlink">
    <w:name w:val="doclayoutpermalinkitemlink"/>
    <w:basedOn w:val="Absatz-Standardschriftart"/>
    <w:rsid w:val="0053147D"/>
    <w:rPr>
      <w:rFonts w:cs="Times New Roman"/>
    </w:rPr>
  </w:style>
  <w:style w:type="paragraph" w:styleId="Kopfzeile">
    <w:name w:val="header"/>
    <w:basedOn w:val="Standard"/>
    <w:link w:val="KopfzeileZchn"/>
    <w:uiPriority w:val="99"/>
    <w:unhideWhenUsed/>
    <w:rsid w:val="00D877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D8775E"/>
    <w:rPr>
      <w:rFonts w:cs="Times New Roman"/>
    </w:rPr>
  </w:style>
  <w:style w:type="paragraph" w:styleId="Fuzeile">
    <w:name w:val="footer"/>
    <w:basedOn w:val="Standard"/>
    <w:link w:val="FuzeileZchn"/>
    <w:uiPriority w:val="99"/>
    <w:unhideWhenUsed/>
    <w:rsid w:val="00D8775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D877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190246">
      <w:marLeft w:val="0"/>
      <w:marRight w:val="0"/>
      <w:marTop w:val="0"/>
      <w:marBottom w:val="0"/>
      <w:divBdr>
        <w:top w:val="none" w:sz="0" w:space="0" w:color="auto"/>
        <w:left w:val="none" w:sz="0" w:space="0" w:color="auto"/>
        <w:bottom w:val="none" w:sz="0" w:space="0" w:color="auto"/>
        <w:right w:val="none" w:sz="0" w:space="0" w:color="auto"/>
      </w:divBdr>
      <w:divsChild>
        <w:div w:id="1300190260">
          <w:marLeft w:val="0"/>
          <w:marRight w:val="0"/>
          <w:marTop w:val="0"/>
          <w:marBottom w:val="0"/>
          <w:divBdr>
            <w:top w:val="none" w:sz="0" w:space="0" w:color="auto"/>
            <w:left w:val="none" w:sz="0" w:space="0" w:color="auto"/>
            <w:bottom w:val="none" w:sz="0" w:space="0" w:color="auto"/>
            <w:right w:val="none" w:sz="0" w:space="0" w:color="auto"/>
          </w:divBdr>
          <w:divsChild>
            <w:div w:id="1300190295">
              <w:marLeft w:val="0"/>
              <w:marRight w:val="0"/>
              <w:marTop w:val="0"/>
              <w:marBottom w:val="0"/>
              <w:divBdr>
                <w:top w:val="none" w:sz="0" w:space="0" w:color="auto"/>
                <w:left w:val="none" w:sz="0" w:space="0" w:color="auto"/>
                <w:bottom w:val="none" w:sz="0" w:space="0" w:color="auto"/>
                <w:right w:val="none" w:sz="0" w:space="0" w:color="auto"/>
              </w:divBdr>
              <w:divsChild>
                <w:div w:id="1300190257">
                  <w:marLeft w:val="0"/>
                  <w:marRight w:val="0"/>
                  <w:marTop w:val="0"/>
                  <w:marBottom w:val="0"/>
                  <w:divBdr>
                    <w:top w:val="none" w:sz="0" w:space="0" w:color="auto"/>
                    <w:left w:val="none" w:sz="0" w:space="0" w:color="auto"/>
                    <w:bottom w:val="none" w:sz="0" w:space="0" w:color="auto"/>
                    <w:right w:val="none" w:sz="0" w:space="0" w:color="auto"/>
                  </w:divBdr>
                  <w:divsChild>
                    <w:div w:id="1300190255">
                      <w:marLeft w:val="0"/>
                      <w:marRight w:val="0"/>
                      <w:marTop w:val="0"/>
                      <w:marBottom w:val="0"/>
                      <w:divBdr>
                        <w:top w:val="none" w:sz="0" w:space="0" w:color="auto"/>
                        <w:left w:val="none" w:sz="0" w:space="0" w:color="auto"/>
                        <w:bottom w:val="none" w:sz="0" w:space="0" w:color="auto"/>
                        <w:right w:val="none" w:sz="0" w:space="0" w:color="auto"/>
                      </w:divBdr>
                      <w:divsChild>
                        <w:div w:id="1300190258">
                          <w:marLeft w:val="0"/>
                          <w:marRight w:val="0"/>
                          <w:marTop w:val="0"/>
                          <w:marBottom w:val="0"/>
                          <w:divBdr>
                            <w:top w:val="none" w:sz="0" w:space="0" w:color="auto"/>
                            <w:left w:val="none" w:sz="0" w:space="0" w:color="auto"/>
                            <w:bottom w:val="none" w:sz="0" w:space="0" w:color="auto"/>
                            <w:right w:val="none" w:sz="0" w:space="0" w:color="auto"/>
                          </w:divBdr>
                        </w:div>
                        <w:div w:id="1300190263">
                          <w:marLeft w:val="0"/>
                          <w:marRight w:val="0"/>
                          <w:marTop w:val="0"/>
                          <w:marBottom w:val="0"/>
                          <w:divBdr>
                            <w:top w:val="none" w:sz="0" w:space="0" w:color="auto"/>
                            <w:left w:val="none" w:sz="0" w:space="0" w:color="auto"/>
                            <w:bottom w:val="none" w:sz="0" w:space="0" w:color="auto"/>
                            <w:right w:val="none" w:sz="0" w:space="0" w:color="auto"/>
                          </w:divBdr>
                          <w:divsChild>
                            <w:div w:id="1300190273">
                              <w:marLeft w:val="0"/>
                              <w:marRight w:val="0"/>
                              <w:marTop w:val="0"/>
                              <w:marBottom w:val="0"/>
                              <w:divBdr>
                                <w:top w:val="none" w:sz="0" w:space="0" w:color="auto"/>
                                <w:left w:val="none" w:sz="0" w:space="0" w:color="auto"/>
                                <w:bottom w:val="none" w:sz="0" w:space="0" w:color="auto"/>
                                <w:right w:val="none" w:sz="0" w:space="0" w:color="auto"/>
                              </w:divBdr>
                            </w:div>
                          </w:divsChild>
                        </w:div>
                        <w:div w:id="1300190279">
                          <w:marLeft w:val="0"/>
                          <w:marRight w:val="0"/>
                          <w:marTop w:val="0"/>
                          <w:marBottom w:val="0"/>
                          <w:divBdr>
                            <w:top w:val="none" w:sz="0" w:space="0" w:color="auto"/>
                            <w:left w:val="none" w:sz="0" w:space="0" w:color="auto"/>
                            <w:bottom w:val="none" w:sz="0" w:space="0" w:color="auto"/>
                            <w:right w:val="none" w:sz="0" w:space="0" w:color="auto"/>
                          </w:divBdr>
                        </w:div>
                        <w:div w:id="1300190280">
                          <w:marLeft w:val="0"/>
                          <w:marRight w:val="0"/>
                          <w:marTop w:val="0"/>
                          <w:marBottom w:val="0"/>
                          <w:divBdr>
                            <w:top w:val="none" w:sz="0" w:space="0" w:color="auto"/>
                            <w:left w:val="none" w:sz="0" w:space="0" w:color="auto"/>
                            <w:bottom w:val="none" w:sz="0" w:space="0" w:color="auto"/>
                            <w:right w:val="none" w:sz="0" w:space="0" w:color="auto"/>
                          </w:divBdr>
                          <w:divsChild>
                            <w:div w:id="1300190269">
                              <w:marLeft w:val="0"/>
                              <w:marRight w:val="0"/>
                              <w:marTop w:val="0"/>
                              <w:marBottom w:val="0"/>
                              <w:divBdr>
                                <w:top w:val="none" w:sz="0" w:space="0" w:color="auto"/>
                                <w:left w:val="none" w:sz="0" w:space="0" w:color="auto"/>
                                <w:bottom w:val="none" w:sz="0" w:space="0" w:color="auto"/>
                                <w:right w:val="none" w:sz="0" w:space="0" w:color="auto"/>
                              </w:divBdr>
                            </w:div>
                          </w:divsChild>
                        </w:div>
                        <w:div w:id="1300190283">
                          <w:marLeft w:val="0"/>
                          <w:marRight w:val="0"/>
                          <w:marTop w:val="0"/>
                          <w:marBottom w:val="0"/>
                          <w:divBdr>
                            <w:top w:val="none" w:sz="0" w:space="0" w:color="auto"/>
                            <w:left w:val="none" w:sz="0" w:space="0" w:color="auto"/>
                            <w:bottom w:val="none" w:sz="0" w:space="0" w:color="auto"/>
                            <w:right w:val="none" w:sz="0" w:space="0" w:color="auto"/>
                          </w:divBdr>
                        </w:div>
                        <w:div w:id="1300190284">
                          <w:marLeft w:val="0"/>
                          <w:marRight w:val="0"/>
                          <w:marTop w:val="0"/>
                          <w:marBottom w:val="0"/>
                          <w:divBdr>
                            <w:top w:val="none" w:sz="0" w:space="0" w:color="auto"/>
                            <w:left w:val="none" w:sz="0" w:space="0" w:color="auto"/>
                            <w:bottom w:val="none" w:sz="0" w:space="0" w:color="auto"/>
                            <w:right w:val="none" w:sz="0" w:space="0" w:color="auto"/>
                          </w:divBdr>
                          <w:divsChild>
                            <w:div w:id="1300190303">
                              <w:marLeft w:val="0"/>
                              <w:marRight w:val="0"/>
                              <w:marTop w:val="0"/>
                              <w:marBottom w:val="0"/>
                              <w:divBdr>
                                <w:top w:val="none" w:sz="0" w:space="0" w:color="auto"/>
                                <w:left w:val="none" w:sz="0" w:space="0" w:color="auto"/>
                                <w:bottom w:val="none" w:sz="0" w:space="0" w:color="auto"/>
                                <w:right w:val="none" w:sz="0" w:space="0" w:color="auto"/>
                              </w:divBdr>
                            </w:div>
                          </w:divsChild>
                        </w:div>
                        <w:div w:id="1300190287">
                          <w:marLeft w:val="0"/>
                          <w:marRight w:val="0"/>
                          <w:marTop w:val="0"/>
                          <w:marBottom w:val="0"/>
                          <w:divBdr>
                            <w:top w:val="none" w:sz="0" w:space="0" w:color="auto"/>
                            <w:left w:val="none" w:sz="0" w:space="0" w:color="auto"/>
                            <w:bottom w:val="none" w:sz="0" w:space="0" w:color="auto"/>
                            <w:right w:val="none" w:sz="0" w:space="0" w:color="auto"/>
                          </w:divBdr>
                        </w:div>
                        <w:div w:id="1300190289">
                          <w:marLeft w:val="0"/>
                          <w:marRight w:val="0"/>
                          <w:marTop w:val="0"/>
                          <w:marBottom w:val="0"/>
                          <w:divBdr>
                            <w:top w:val="none" w:sz="0" w:space="0" w:color="auto"/>
                            <w:left w:val="none" w:sz="0" w:space="0" w:color="auto"/>
                            <w:bottom w:val="none" w:sz="0" w:space="0" w:color="auto"/>
                            <w:right w:val="none" w:sz="0" w:space="0" w:color="auto"/>
                          </w:divBdr>
                        </w:div>
                        <w:div w:id="13001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261">
                  <w:marLeft w:val="0"/>
                  <w:marRight w:val="0"/>
                  <w:marTop w:val="0"/>
                  <w:marBottom w:val="0"/>
                  <w:divBdr>
                    <w:top w:val="none" w:sz="0" w:space="0" w:color="auto"/>
                    <w:left w:val="none" w:sz="0" w:space="0" w:color="auto"/>
                    <w:bottom w:val="none" w:sz="0" w:space="0" w:color="auto"/>
                    <w:right w:val="none" w:sz="0" w:space="0" w:color="auto"/>
                  </w:divBdr>
                  <w:divsChild>
                    <w:div w:id="1300190291">
                      <w:marLeft w:val="0"/>
                      <w:marRight w:val="0"/>
                      <w:marTop w:val="0"/>
                      <w:marBottom w:val="0"/>
                      <w:divBdr>
                        <w:top w:val="none" w:sz="0" w:space="0" w:color="auto"/>
                        <w:left w:val="none" w:sz="0" w:space="0" w:color="auto"/>
                        <w:bottom w:val="none" w:sz="0" w:space="0" w:color="auto"/>
                        <w:right w:val="none" w:sz="0" w:space="0" w:color="auto"/>
                      </w:divBdr>
                      <w:divsChild>
                        <w:div w:id="13001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90247">
      <w:marLeft w:val="0"/>
      <w:marRight w:val="0"/>
      <w:marTop w:val="0"/>
      <w:marBottom w:val="0"/>
      <w:divBdr>
        <w:top w:val="none" w:sz="0" w:space="0" w:color="auto"/>
        <w:left w:val="none" w:sz="0" w:space="0" w:color="auto"/>
        <w:bottom w:val="none" w:sz="0" w:space="0" w:color="auto"/>
        <w:right w:val="none" w:sz="0" w:space="0" w:color="auto"/>
      </w:divBdr>
    </w:div>
    <w:div w:id="1300190248">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
    <w:div w:id="1300190250">
      <w:marLeft w:val="0"/>
      <w:marRight w:val="0"/>
      <w:marTop w:val="0"/>
      <w:marBottom w:val="0"/>
      <w:divBdr>
        <w:top w:val="none" w:sz="0" w:space="0" w:color="auto"/>
        <w:left w:val="none" w:sz="0" w:space="0" w:color="auto"/>
        <w:bottom w:val="none" w:sz="0" w:space="0" w:color="auto"/>
        <w:right w:val="none" w:sz="0" w:space="0" w:color="auto"/>
      </w:divBdr>
    </w:div>
    <w:div w:id="1300190251">
      <w:marLeft w:val="0"/>
      <w:marRight w:val="0"/>
      <w:marTop w:val="0"/>
      <w:marBottom w:val="0"/>
      <w:divBdr>
        <w:top w:val="none" w:sz="0" w:space="0" w:color="auto"/>
        <w:left w:val="none" w:sz="0" w:space="0" w:color="auto"/>
        <w:bottom w:val="none" w:sz="0" w:space="0" w:color="auto"/>
        <w:right w:val="none" w:sz="0" w:space="0" w:color="auto"/>
      </w:divBdr>
    </w:div>
    <w:div w:id="1300190272">
      <w:marLeft w:val="0"/>
      <w:marRight w:val="0"/>
      <w:marTop w:val="0"/>
      <w:marBottom w:val="0"/>
      <w:divBdr>
        <w:top w:val="none" w:sz="0" w:space="0" w:color="auto"/>
        <w:left w:val="none" w:sz="0" w:space="0" w:color="auto"/>
        <w:bottom w:val="none" w:sz="0" w:space="0" w:color="auto"/>
        <w:right w:val="none" w:sz="0" w:space="0" w:color="auto"/>
      </w:divBdr>
      <w:divsChild>
        <w:div w:id="1300190277">
          <w:marLeft w:val="0"/>
          <w:marRight w:val="0"/>
          <w:marTop w:val="0"/>
          <w:marBottom w:val="0"/>
          <w:divBdr>
            <w:top w:val="none" w:sz="0" w:space="0" w:color="auto"/>
            <w:left w:val="none" w:sz="0" w:space="0" w:color="auto"/>
            <w:bottom w:val="none" w:sz="0" w:space="0" w:color="auto"/>
            <w:right w:val="none" w:sz="0" w:space="0" w:color="auto"/>
          </w:divBdr>
          <w:divsChild>
            <w:div w:id="1300190299">
              <w:marLeft w:val="0"/>
              <w:marRight w:val="0"/>
              <w:marTop w:val="0"/>
              <w:marBottom w:val="0"/>
              <w:divBdr>
                <w:top w:val="none" w:sz="0" w:space="0" w:color="auto"/>
                <w:left w:val="none" w:sz="0" w:space="0" w:color="auto"/>
                <w:bottom w:val="none" w:sz="0" w:space="0" w:color="auto"/>
                <w:right w:val="none" w:sz="0" w:space="0" w:color="auto"/>
              </w:divBdr>
              <w:divsChild>
                <w:div w:id="1300190282">
                  <w:marLeft w:val="0"/>
                  <w:marRight w:val="0"/>
                  <w:marTop w:val="0"/>
                  <w:marBottom w:val="0"/>
                  <w:divBdr>
                    <w:top w:val="none" w:sz="0" w:space="0" w:color="auto"/>
                    <w:left w:val="none" w:sz="0" w:space="0" w:color="auto"/>
                    <w:bottom w:val="none" w:sz="0" w:space="0" w:color="auto"/>
                    <w:right w:val="none" w:sz="0" w:space="0" w:color="auto"/>
                  </w:divBdr>
                </w:div>
                <w:div w:id="1300190290">
                  <w:marLeft w:val="0"/>
                  <w:marRight w:val="0"/>
                  <w:marTop w:val="0"/>
                  <w:marBottom w:val="0"/>
                  <w:divBdr>
                    <w:top w:val="none" w:sz="0" w:space="0" w:color="auto"/>
                    <w:left w:val="none" w:sz="0" w:space="0" w:color="auto"/>
                    <w:bottom w:val="none" w:sz="0" w:space="0" w:color="auto"/>
                    <w:right w:val="none" w:sz="0" w:space="0" w:color="auto"/>
                  </w:divBdr>
                  <w:divsChild>
                    <w:div w:id="13001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90294">
          <w:marLeft w:val="0"/>
          <w:marRight w:val="0"/>
          <w:marTop w:val="0"/>
          <w:marBottom w:val="0"/>
          <w:divBdr>
            <w:top w:val="none" w:sz="0" w:space="0" w:color="auto"/>
            <w:left w:val="none" w:sz="0" w:space="0" w:color="auto"/>
            <w:bottom w:val="none" w:sz="0" w:space="0" w:color="auto"/>
            <w:right w:val="none" w:sz="0" w:space="0" w:color="auto"/>
          </w:divBdr>
          <w:divsChild>
            <w:div w:id="1300190276">
              <w:marLeft w:val="0"/>
              <w:marRight w:val="0"/>
              <w:marTop w:val="0"/>
              <w:marBottom w:val="0"/>
              <w:divBdr>
                <w:top w:val="none" w:sz="0" w:space="0" w:color="auto"/>
                <w:left w:val="none" w:sz="0" w:space="0" w:color="auto"/>
                <w:bottom w:val="none" w:sz="0" w:space="0" w:color="auto"/>
                <w:right w:val="none" w:sz="0" w:space="0" w:color="auto"/>
              </w:divBdr>
              <w:divsChild>
                <w:div w:id="13001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296">
          <w:marLeft w:val="0"/>
          <w:marRight w:val="0"/>
          <w:marTop w:val="0"/>
          <w:marBottom w:val="0"/>
          <w:divBdr>
            <w:top w:val="none" w:sz="0" w:space="0" w:color="auto"/>
            <w:left w:val="none" w:sz="0" w:space="0" w:color="auto"/>
            <w:bottom w:val="none" w:sz="0" w:space="0" w:color="auto"/>
            <w:right w:val="none" w:sz="0" w:space="0" w:color="auto"/>
          </w:divBdr>
        </w:div>
      </w:divsChild>
    </w:div>
    <w:div w:id="1300190274">
      <w:marLeft w:val="0"/>
      <w:marRight w:val="0"/>
      <w:marTop w:val="0"/>
      <w:marBottom w:val="0"/>
      <w:divBdr>
        <w:top w:val="none" w:sz="0" w:space="0" w:color="auto"/>
        <w:left w:val="none" w:sz="0" w:space="0" w:color="auto"/>
        <w:bottom w:val="none" w:sz="0" w:space="0" w:color="auto"/>
        <w:right w:val="none" w:sz="0" w:space="0" w:color="auto"/>
      </w:divBdr>
      <w:divsChild>
        <w:div w:id="1300190281">
          <w:marLeft w:val="0"/>
          <w:marRight w:val="0"/>
          <w:marTop w:val="0"/>
          <w:marBottom w:val="0"/>
          <w:divBdr>
            <w:top w:val="none" w:sz="0" w:space="0" w:color="auto"/>
            <w:left w:val="none" w:sz="0" w:space="0" w:color="auto"/>
            <w:bottom w:val="none" w:sz="0" w:space="0" w:color="auto"/>
            <w:right w:val="none" w:sz="0" w:space="0" w:color="auto"/>
          </w:divBdr>
          <w:divsChild>
            <w:div w:id="1300190275">
              <w:marLeft w:val="0"/>
              <w:marRight w:val="0"/>
              <w:marTop w:val="0"/>
              <w:marBottom w:val="0"/>
              <w:divBdr>
                <w:top w:val="none" w:sz="0" w:space="0" w:color="auto"/>
                <w:left w:val="none" w:sz="0" w:space="0" w:color="auto"/>
                <w:bottom w:val="none" w:sz="0" w:space="0" w:color="auto"/>
                <w:right w:val="none" w:sz="0" w:space="0" w:color="auto"/>
              </w:divBdr>
              <w:divsChild>
                <w:div w:id="1300190286">
                  <w:marLeft w:val="-300"/>
                  <w:marRight w:val="0"/>
                  <w:marTop w:val="60"/>
                  <w:marBottom w:val="0"/>
                  <w:divBdr>
                    <w:top w:val="none" w:sz="0" w:space="0" w:color="auto"/>
                    <w:left w:val="none" w:sz="0" w:space="0" w:color="auto"/>
                    <w:bottom w:val="none" w:sz="0" w:space="0" w:color="auto"/>
                    <w:right w:val="none" w:sz="0" w:space="0" w:color="auto"/>
                  </w:divBdr>
                </w:div>
              </w:divsChild>
            </w:div>
            <w:div w:id="1300190300">
              <w:marLeft w:val="0"/>
              <w:marRight w:val="0"/>
              <w:marTop w:val="0"/>
              <w:marBottom w:val="0"/>
              <w:divBdr>
                <w:top w:val="none" w:sz="0" w:space="0" w:color="auto"/>
                <w:left w:val="none" w:sz="0" w:space="0" w:color="auto"/>
                <w:bottom w:val="none" w:sz="0" w:space="0" w:color="auto"/>
                <w:right w:val="none" w:sz="0" w:space="0" w:color="auto"/>
              </w:divBdr>
              <w:divsChild>
                <w:div w:id="1300190254">
                  <w:marLeft w:val="0"/>
                  <w:marRight w:val="0"/>
                  <w:marTop w:val="0"/>
                  <w:marBottom w:val="0"/>
                  <w:divBdr>
                    <w:top w:val="none" w:sz="0" w:space="0" w:color="auto"/>
                    <w:left w:val="none" w:sz="0" w:space="0" w:color="auto"/>
                    <w:bottom w:val="none" w:sz="0" w:space="0" w:color="auto"/>
                    <w:right w:val="none" w:sz="0" w:space="0" w:color="auto"/>
                  </w:divBdr>
                  <w:divsChild>
                    <w:div w:id="1300190270">
                      <w:marLeft w:val="0"/>
                      <w:marRight w:val="0"/>
                      <w:marTop w:val="0"/>
                      <w:marBottom w:val="0"/>
                      <w:divBdr>
                        <w:top w:val="none" w:sz="0" w:space="0" w:color="auto"/>
                        <w:left w:val="none" w:sz="0" w:space="0" w:color="auto"/>
                        <w:bottom w:val="none" w:sz="0" w:space="0" w:color="auto"/>
                        <w:right w:val="none" w:sz="0" w:space="0" w:color="auto"/>
                      </w:divBdr>
                    </w:div>
                  </w:divsChild>
                </w:div>
                <w:div w:id="13001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285">
          <w:marLeft w:val="0"/>
          <w:marRight w:val="0"/>
          <w:marTop w:val="0"/>
          <w:marBottom w:val="0"/>
          <w:divBdr>
            <w:top w:val="none" w:sz="0" w:space="0" w:color="auto"/>
            <w:left w:val="none" w:sz="0" w:space="0" w:color="auto"/>
            <w:bottom w:val="none" w:sz="0" w:space="0" w:color="auto"/>
            <w:right w:val="none" w:sz="0" w:space="0" w:color="auto"/>
          </w:divBdr>
          <w:divsChild>
            <w:div w:id="1300190278">
              <w:marLeft w:val="0"/>
              <w:marRight w:val="0"/>
              <w:marTop w:val="0"/>
              <w:marBottom w:val="0"/>
              <w:divBdr>
                <w:top w:val="none" w:sz="0" w:space="0" w:color="auto"/>
                <w:left w:val="none" w:sz="0" w:space="0" w:color="auto"/>
                <w:bottom w:val="none" w:sz="0" w:space="0" w:color="auto"/>
                <w:right w:val="none" w:sz="0" w:space="0" w:color="auto"/>
              </w:divBdr>
              <w:divsChild>
                <w:div w:id="13001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302">
          <w:marLeft w:val="0"/>
          <w:marRight w:val="0"/>
          <w:marTop w:val="0"/>
          <w:marBottom w:val="0"/>
          <w:divBdr>
            <w:top w:val="none" w:sz="0" w:space="0" w:color="auto"/>
            <w:left w:val="none" w:sz="0" w:space="0" w:color="auto"/>
            <w:bottom w:val="none" w:sz="0" w:space="0" w:color="auto"/>
            <w:right w:val="none" w:sz="0" w:space="0" w:color="auto"/>
          </w:divBdr>
        </w:div>
      </w:divsChild>
    </w:div>
    <w:div w:id="1300190293">
      <w:marLeft w:val="0"/>
      <w:marRight w:val="0"/>
      <w:marTop w:val="0"/>
      <w:marBottom w:val="0"/>
      <w:divBdr>
        <w:top w:val="none" w:sz="0" w:space="0" w:color="auto"/>
        <w:left w:val="none" w:sz="0" w:space="0" w:color="auto"/>
        <w:bottom w:val="none" w:sz="0" w:space="0" w:color="auto"/>
        <w:right w:val="none" w:sz="0" w:space="0" w:color="auto"/>
      </w:divBdr>
      <w:divsChild>
        <w:div w:id="1300190253">
          <w:marLeft w:val="0"/>
          <w:marRight w:val="0"/>
          <w:marTop w:val="0"/>
          <w:marBottom w:val="0"/>
          <w:divBdr>
            <w:top w:val="none" w:sz="0" w:space="0" w:color="auto"/>
            <w:left w:val="none" w:sz="0" w:space="0" w:color="auto"/>
            <w:bottom w:val="none" w:sz="0" w:space="0" w:color="auto"/>
            <w:right w:val="none" w:sz="0" w:space="0" w:color="auto"/>
          </w:divBdr>
        </w:div>
        <w:div w:id="1300190265">
          <w:marLeft w:val="0"/>
          <w:marRight w:val="0"/>
          <w:marTop w:val="0"/>
          <w:marBottom w:val="0"/>
          <w:divBdr>
            <w:top w:val="none" w:sz="0" w:space="0" w:color="auto"/>
            <w:left w:val="none" w:sz="0" w:space="0" w:color="auto"/>
            <w:bottom w:val="none" w:sz="0" w:space="0" w:color="auto"/>
            <w:right w:val="none" w:sz="0" w:space="0" w:color="auto"/>
          </w:divBdr>
          <w:divsChild>
            <w:div w:id="1300190259">
              <w:marLeft w:val="0"/>
              <w:marRight w:val="0"/>
              <w:marTop w:val="0"/>
              <w:marBottom w:val="0"/>
              <w:divBdr>
                <w:top w:val="none" w:sz="0" w:space="0" w:color="auto"/>
                <w:left w:val="none" w:sz="0" w:space="0" w:color="auto"/>
                <w:bottom w:val="none" w:sz="0" w:space="0" w:color="auto"/>
                <w:right w:val="none" w:sz="0" w:space="0" w:color="auto"/>
              </w:divBdr>
              <w:divsChild>
                <w:div w:id="13001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266">
          <w:marLeft w:val="0"/>
          <w:marRight w:val="0"/>
          <w:marTop w:val="0"/>
          <w:marBottom w:val="0"/>
          <w:divBdr>
            <w:top w:val="none" w:sz="0" w:space="0" w:color="auto"/>
            <w:left w:val="none" w:sz="0" w:space="0" w:color="auto"/>
            <w:bottom w:val="none" w:sz="0" w:space="0" w:color="auto"/>
            <w:right w:val="none" w:sz="0" w:space="0" w:color="auto"/>
          </w:divBdr>
          <w:divsChild>
            <w:div w:id="1300190264">
              <w:marLeft w:val="0"/>
              <w:marRight w:val="0"/>
              <w:marTop w:val="0"/>
              <w:marBottom w:val="0"/>
              <w:divBdr>
                <w:top w:val="none" w:sz="0" w:space="0" w:color="auto"/>
                <w:left w:val="none" w:sz="0" w:space="0" w:color="auto"/>
                <w:bottom w:val="none" w:sz="0" w:space="0" w:color="auto"/>
                <w:right w:val="none" w:sz="0" w:space="0" w:color="auto"/>
              </w:divBdr>
              <w:divsChild>
                <w:div w:id="1300190256">
                  <w:marLeft w:val="0"/>
                  <w:marRight w:val="0"/>
                  <w:marTop w:val="0"/>
                  <w:marBottom w:val="0"/>
                  <w:divBdr>
                    <w:top w:val="none" w:sz="0" w:space="0" w:color="auto"/>
                    <w:left w:val="none" w:sz="0" w:space="0" w:color="auto"/>
                    <w:bottom w:val="none" w:sz="0" w:space="0" w:color="auto"/>
                    <w:right w:val="none" w:sz="0" w:space="0" w:color="auto"/>
                  </w:divBdr>
                  <w:divsChild>
                    <w:div w:id="1300190271">
                      <w:marLeft w:val="0"/>
                      <w:marRight w:val="0"/>
                      <w:marTop w:val="0"/>
                      <w:marBottom w:val="0"/>
                      <w:divBdr>
                        <w:top w:val="none" w:sz="0" w:space="0" w:color="auto"/>
                        <w:left w:val="none" w:sz="0" w:space="0" w:color="auto"/>
                        <w:bottom w:val="none" w:sz="0" w:space="0" w:color="auto"/>
                        <w:right w:val="none" w:sz="0" w:space="0" w:color="auto"/>
                      </w:divBdr>
                    </w:div>
                  </w:divsChild>
                </w:div>
                <w:div w:id="13001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90304">
      <w:marLeft w:val="0"/>
      <w:marRight w:val="0"/>
      <w:marTop w:val="0"/>
      <w:marBottom w:val="0"/>
      <w:divBdr>
        <w:top w:val="none" w:sz="0" w:space="0" w:color="auto"/>
        <w:left w:val="none" w:sz="0" w:space="0" w:color="auto"/>
        <w:bottom w:val="none" w:sz="0" w:space="0" w:color="auto"/>
        <w:right w:val="none" w:sz="0" w:space="0" w:color="auto"/>
      </w:divBdr>
      <w:divsChild>
        <w:div w:id="1300190245">
          <w:marLeft w:val="0"/>
          <w:marRight w:val="0"/>
          <w:marTop w:val="0"/>
          <w:marBottom w:val="0"/>
          <w:divBdr>
            <w:top w:val="none" w:sz="0" w:space="0" w:color="auto"/>
            <w:left w:val="none" w:sz="0" w:space="0" w:color="auto"/>
            <w:bottom w:val="none" w:sz="0" w:space="0" w:color="auto"/>
            <w:right w:val="none" w:sz="0" w:space="0" w:color="auto"/>
          </w:divBdr>
          <w:divsChild>
            <w:div w:id="1300190313">
              <w:marLeft w:val="0"/>
              <w:marRight w:val="0"/>
              <w:marTop w:val="0"/>
              <w:marBottom w:val="0"/>
              <w:divBdr>
                <w:top w:val="none" w:sz="0" w:space="0" w:color="auto"/>
                <w:left w:val="none" w:sz="0" w:space="0" w:color="auto"/>
                <w:bottom w:val="none" w:sz="0" w:space="0" w:color="auto"/>
                <w:right w:val="none" w:sz="0" w:space="0" w:color="auto"/>
              </w:divBdr>
              <w:divsChild>
                <w:div w:id="13001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311">
          <w:marLeft w:val="0"/>
          <w:marRight w:val="0"/>
          <w:marTop w:val="0"/>
          <w:marBottom w:val="0"/>
          <w:divBdr>
            <w:top w:val="none" w:sz="0" w:space="0" w:color="auto"/>
            <w:left w:val="none" w:sz="0" w:space="0" w:color="auto"/>
            <w:bottom w:val="none" w:sz="0" w:space="0" w:color="auto"/>
            <w:right w:val="none" w:sz="0" w:space="0" w:color="auto"/>
          </w:divBdr>
          <w:divsChild>
            <w:div w:id="1300190305">
              <w:marLeft w:val="0"/>
              <w:marRight w:val="0"/>
              <w:marTop w:val="0"/>
              <w:marBottom w:val="0"/>
              <w:divBdr>
                <w:top w:val="none" w:sz="0" w:space="0" w:color="auto"/>
                <w:left w:val="none" w:sz="0" w:space="0" w:color="auto"/>
                <w:bottom w:val="none" w:sz="0" w:space="0" w:color="auto"/>
                <w:right w:val="none" w:sz="0" w:space="0" w:color="auto"/>
              </w:divBdr>
              <w:divsChild>
                <w:div w:id="1300190307">
                  <w:marLeft w:val="-300"/>
                  <w:marRight w:val="0"/>
                  <w:marTop w:val="60"/>
                  <w:marBottom w:val="0"/>
                  <w:divBdr>
                    <w:top w:val="none" w:sz="0" w:space="0" w:color="auto"/>
                    <w:left w:val="none" w:sz="0" w:space="0" w:color="auto"/>
                    <w:bottom w:val="none" w:sz="0" w:space="0" w:color="auto"/>
                    <w:right w:val="none" w:sz="0" w:space="0" w:color="auto"/>
                  </w:divBdr>
                </w:div>
              </w:divsChild>
            </w:div>
            <w:div w:id="1300190308">
              <w:marLeft w:val="0"/>
              <w:marRight w:val="0"/>
              <w:marTop w:val="0"/>
              <w:marBottom w:val="0"/>
              <w:divBdr>
                <w:top w:val="none" w:sz="0" w:space="0" w:color="auto"/>
                <w:left w:val="none" w:sz="0" w:space="0" w:color="auto"/>
                <w:bottom w:val="none" w:sz="0" w:space="0" w:color="auto"/>
                <w:right w:val="none" w:sz="0" w:space="0" w:color="auto"/>
              </w:divBdr>
              <w:divsChild>
                <w:div w:id="1300190244">
                  <w:marLeft w:val="0"/>
                  <w:marRight w:val="0"/>
                  <w:marTop w:val="0"/>
                  <w:marBottom w:val="0"/>
                  <w:divBdr>
                    <w:top w:val="none" w:sz="0" w:space="0" w:color="auto"/>
                    <w:left w:val="none" w:sz="0" w:space="0" w:color="auto"/>
                    <w:bottom w:val="none" w:sz="0" w:space="0" w:color="auto"/>
                    <w:right w:val="none" w:sz="0" w:space="0" w:color="auto"/>
                  </w:divBdr>
                </w:div>
                <w:div w:id="1300190310">
                  <w:marLeft w:val="0"/>
                  <w:marRight w:val="0"/>
                  <w:marTop w:val="0"/>
                  <w:marBottom w:val="0"/>
                  <w:divBdr>
                    <w:top w:val="none" w:sz="0" w:space="0" w:color="auto"/>
                    <w:left w:val="none" w:sz="0" w:space="0" w:color="auto"/>
                    <w:bottom w:val="none" w:sz="0" w:space="0" w:color="auto"/>
                    <w:right w:val="none" w:sz="0" w:space="0" w:color="auto"/>
                  </w:divBdr>
                  <w:divsChild>
                    <w:div w:id="13001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9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63AE3834.dotm</Template>
  <TotalTime>0</TotalTime>
  <Pages>3</Pages>
  <Words>888</Words>
  <Characters>5596</Characters>
  <Application>Microsoft Office Word</Application>
  <DocSecurity>0</DocSecurity>
  <Lines>46</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2018-01-08T08:03:00Z</dcterms:created>
  <dcterms:modified xsi:type="dcterms:W3CDTF">2018-01-08T08:03:00Z</dcterms:modified>
</cp:coreProperties>
</file>