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904" w:rsidRPr="003F5516" w:rsidRDefault="003B0904" w:rsidP="003B0904">
      <w:pPr>
        <w:tabs>
          <w:tab w:val="center" w:pos="4536"/>
          <w:tab w:val="right" w:pos="9072"/>
        </w:tabs>
        <w:jc w:val="right"/>
        <w:rPr>
          <w:rFonts w:ascii="Arial" w:hAnsi="Arial" w:cs="Arial"/>
        </w:rPr>
      </w:pPr>
      <w:r w:rsidRPr="003F5516">
        <w:rPr>
          <w:rFonts w:ascii="Arial" w:hAnsi="Arial" w:cs="Arial"/>
          <w:b/>
          <w:bCs/>
          <w:sz w:val="40"/>
          <w:szCs w:val="40"/>
        </w:rPr>
        <w:t>DASV</w:t>
      </w:r>
    </w:p>
    <w:p w:rsidR="003B0904" w:rsidRPr="003F5516" w:rsidRDefault="003B0904" w:rsidP="003B0904">
      <w:pPr>
        <w:jc w:val="right"/>
        <w:rPr>
          <w:rFonts w:ascii="Arial" w:hAnsi="Arial" w:cs="Arial"/>
          <w:sz w:val="20"/>
          <w:szCs w:val="20"/>
        </w:rPr>
      </w:pPr>
      <w:bookmarkStart w:id="0" w:name="2"/>
      <w:bookmarkStart w:id="1" w:name="9"/>
      <w:bookmarkEnd w:id="0"/>
      <w:bookmarkEnd w:id="1"/>
      <w:r w:rsidRPr="003F5516">
        <w:rPr>
          <w:rFonts w:ascii="Arial" w:hAnsi="Arial" w:cs="Arial"/>
          <w:sz w:val="20"/>
          <w:szCs w:val="20"/>
        </w:rPr>
        <w:t>Deutsche Anwalts- und</w:t>
      </w:r>
    </w:p>
    <w:p w:rsidR="003B0904" w:rsidRPr="003F5516" w:rsidRDefault="003B0904" w:rsidP="003B0904">
      <w:pPr>
        <w:jc w:val="right"/>
        <w:rPr>
          <w:rFonts w:ascii="Arial" w:hAnsi="Arial" w:cs="Arial"/>
          <w:sz w:val="20"/>
          <w:szCs w:val="20"/>
        </w:rPr>
      </w:pPr>
      <w:r w:rsidRPr="003F5516">
        <w:rPr>
          <w:rFonts w:ascii="Arial" w:hAnsi="Arial" w:cs="Arial"/>
          <w:sz w:val="20"/>
          <w:szCs w:val="20"/>
        </w:rPr>
        <w:t>Steuerberatervereinigung</w:t>
      </w:r>
    </w:p>
    <w:p w:rsidR="003B0904" w:rsidRPr="003F5516" w:rsidRDefault="003B0904" w:rsidP="003B0904">
      <w:pPr>
        <w:jc w:val="right"/>
        <w:rPr>
          <w:rFonts w:ascii="Arial" w:hAnsi="Arial" w:cs="Arial"/>
          <w:sz w:val="20"/>
          <w:szCs w:val="20"/>
        </w:rPr>
      </w:pPr>
      <w:r w:rsidRPr="003F5516">
        <w:rPr>
          <w:rFonts w:ascii="Arial" w:hAnsi="Arial" w:cs="Arial"/>
          <w:sz w:val="20"/>
          <w:szCs w:val="20"/>
        </w:rPr>
        <w:t>für die mittelständische</w:t>
      </w:r>
    </w:p>
    <w:p w:rsidR="003B0904" w:rsidRDefault="003B0904" w:rsidP="003B0904">
      <w:pPr>
        <w:spacing w:line="360" w:lineRule="auto"/>
        <w:jc w:val="right"/>
        <w:rPr>
          <w:rFonts w:ascii="Arial" w:hAnsi="Arial" w:cs="Arial"/>
          <w:sz w:val="20"/>
          <w:szCs w:val="20"/>
        </w:rPr>
      </w:pPr>
      <w:r w:rsidRPr="003F5516">
        <w:rPr>
          <w:rFonts w:ascii="Arial" w:hAnsi="Arial" w:cs="Arial"/>
          <w:sz w:val="20"/>
          <w:szCs w:val="20"/>
        </w:rPr>
        <w:t>Wirtschaft e. V.</w:t>
      </w:r>
    </w:p>
    <w:p w:rsidR="0016689D" w:rsidRDefault="0016689D" w:rsidP="003B0904">
      <w:pPr>
        <w:spacing w:line="360" w:lineRule="auto"/>
        <w:jc w:val="both"/>
        <w:rPr>
          <w:rFonts w:ascii="Arial" w:hAnsi="Arial" w:cs="Arial"/>
          <w:b/>
          <w:bCs/>
        </w:rPr>
      </w:pPr>
    </w:p>
    <w:p w:rsidR="0016689D" w:rsidRDefault="0016689D" w:rsidP="003B0904">
      <w:pPr>
        <w:spacing w:line="360" w:lineRule="auto"/>
        <w:jc w:val="both"/>
        <w:rPr>
          <w:rFonts w:ascii="Arial" w:hAnsi="Arial" w:cs="Arial"/>
          <w:b/>
          <w:bCs/>
        </w:rPr>
      </w:pPr>
      <w:r>
        <w:rPr>
          <w:rFonts w:ascii="Arial" w:hAnsi="Arial" w:cs="Arial"/>
          <w:b/>
          <w:bCs/>
        </w:rPr>
        <w:t>Höhe einer betrieblichen Altersversorgung - Auswirkung von Teilzeitbeschäftigung</w:t>
      </w:r>
    </w:p>
    <w:p w:rsidR="0016689D" w:rsidRPr="003B0904" w:rsidRDefault="0016689D" w:rsidP="003B0904">
      <w:pPr>
        <w:spacing w:line="360" w:lineRule="auto"/>
        <w:jc w:val="both"/>
        <w:rPr>
          <w:rFonts w:ascii="Arial" w:hAnsi="Arial" w:cs="Arial"/>
          <w:bCs/>
        </w:rPr>
      </w:pPr>
    </w:p>
    <w:p w:rsidR="003B0904" w:rsidRPr="00284168" w:rsidRDefault="003B0904" w:rsidP="003B0904">
      <w:pPr>
        <w:spacing w:line="360" w:lineRule="auto"/>
        <w:jc w:val="both"/>
        <w:rPr>
          <w:rFonts w:ascii="Arial" w:hAnsi="Arial" w:cs="Arial"/>
        </w:rPr>
      </w:pPr>
      <w:r w:rsidRPr="00284168">
        <w:rPr>
          <w:rFonts w:ascii="Arial" w:hAnsi="Arial" w:cs="Arial"/>
        </w:rPr>
        <w:t xml:space="preserve">ein Artikel von Rechtsanwalt und Fachanwalt für Arbeitsrecht Michael Henn, Stuttgart </w:t>
      </w:r>
    </w:p>
    <w:p w:rsidR="003B0904" w:rsidRPr="003B0904" w:rsidRDefault="003B0904" w:rsidP="003B0904">
      <w:pPr>
        <w:spacing w:line="360" w:lineRule="auto"/>
        <w:jc w:val="both"/>
        <w:rPr>
          <w:rFonts w:ascii="Arial" w:hAnsi="Arial" w:cs="Arial"/>
          <w:bCs/>
        </w:rPr>
      </w:pPr>
    </w:p>
    <w:p w:rsidR="0016689D" w:rsidRDefault="0016689D" w:rsidP="003B0904">
      <w:pPr>
        <w:spacing w:line="360" w:lineRule="auto"/>
        <w:jc w:val="both"/>
        <w:rPr>
          <w:rFonts w:ascii="Arial" w:hAnsi="Arial" w:cs="Arial"/>
          <w:b/>
          <w:bCs/>
        </w:rPr>
      </w:pPr>
      <w:r>
        <w:rPr>
          <w:rFonts w:ascii="Arial" w:hAnsi="Arial" w:cs="Arial"/>
          <w:b/>
          <w:bCs/>
        </w:rPr>
        <w:t xml:space="preserve">Eine Versorgungsregelung kann wirksam vorsehen, dass bei der Ermittlung der anrechnungsfähigen Dienstzeiten im Rahmen der Berechnung des Altersruhegelds die Zeiten einer Teilzeitbeschäftigung lediglich anteilig berücksichtigt werden. </w:t>
      </w:r>
    </w:p>
    <w:p w:rsidR="0016689D" w:rsidRDefault="0016689D" w:rsidP="003B0904">
      <w:pPr>
        <w:spacing w:line="360" w:lineRule="auto"/>
        <w:jc w:val="both"/>
        <w:rPr>
          <w:rFonts w:ascii="Arial" w:hAnsi="Arial" w:cs="Arial"/>
          <w:b/>
          <w:bCs/>
        </w:rPr>
      </w:pPr>
    </w:p>
    <w:p w:rsidR="0016689D" w:rsidRDefault="0016689D" w:rsidP="003B0904">
      <w:pPr>
        <w:spacing w:line="360" w:lineRule="auto"/>
        <w:jc w:val="both"/>
        <w:rPr>
          <w:rFonts w:ascii="Arial" w:hAnsi="Arial" w:cs="Arial"/>
        </w:rPr>
      </w:pPr>
      <w:r>
        <w:rPr>
          <w:rFonts w:ascii="Arial" w:hAnsi="Arial" w:cs="Arial"/>
        </w:rPr>
        <w:t xml:space="preserve">Ebenso kann eine Versorgungsregelung vorsehen, dass eine Höchstgrenze eines Altersruhegelds bei in Teilzeit beschäftigten Arbeitnehmern entsprechend dem Teilzeitgrad während des Arbeitsverhältnisses gekürzt wird. Diese Regelungen stellen keine unzulässige Diskriminierung wegen der Teilzeitarbeit </w:t>
      </w:r>
      <w:proofErr w:type="spellStart"/>
      <w:r>
        <w:rPr>
          <w:rFonts w:ascii="Arial" w:hAnsi="Arial" w:cs="Arial"/>
        </w:rPr>
        <w:t>iSv</w:t>
      </w:r>
      <w:proofErr w:type="spellEnd"/>
      <w:r>
        <w:rPr>
          <w:rFonts w:ascii="Arial" w:hAnsi="Arial" w:cs="Arial"/>
        </w:rPr>
        <w:t xml:space="preserve">. § 4 Abs. 1 </w:t>
      </w:r>
      <w:proofErr w:type="spellStart"/>
      <w:r>
        <w:rPr>
          <w:rFonts w:ascii="Arial" w:hAnsi="Arial" w:cs="Arial"/>
        </w:rPr>
        <w:t>TzBfG</w:t>
      </w:r>
      <w:proofErr w:type="spellEnd"/>
      <w:r>
        <w:rPr>
          <w:rFonts w:ascii="Arial" w:hAnsi="Arial" w:cs="Arial"/>
        </w:rPr>
        <w:t xml:space="preserve"> da.</w:t>
      </w:r>
    </w:p>
    <w:p w:rsidR="0016689D" w:rsidRDefault="0016689D" w:rsidP="003B0904">
      <w:pPr>
        <w:spacing w:line="360" w:lineRule="auto"/>
        <w:jc w:val="both"/>
        <w:rPr>
          <w:rFonts w:ascii="Arial" w:hAnsi="Arial" w:cs="Arial"/>
        </w:rPr>
      </w:pPr>
    </w:p>
    <w:p w:rsidR="0016689D" w:rsidRDefault="0016689D" w:rsidP="003B0904">
      <w:pPr>
        <w:spacing w:line="360" w:lineRule="auto"/>
        <w:jc w:val="both"/>
        <w:rPr>
          <w:rFonts w:ascii="Arial" w:hAnsi="Arial" w:cs="Arial"/>
        </w:rPr>
      </w:pPr>
      <w:r>
        <w:rPr>
          <w:rFonts w:ascii="Arial" w:hAnsi="Arial" w:cs="Arial"/>
        </w:rPr>
        <w:t xml:space="preserve">Darauf verweist der Stuttgarter Fachanwalt für Arbeitsrecht Michael Henn, </w:t>
      </w:r>
      <w:r w:rsidR="00317AF1">
        <w:rPr>
          <w:rFonts w:ascii="Arial" w:hAnsi="Arial" w:cs="Arial"/>
        </w:rPr>
        <w:t>Vorstandsmitglied</w:t>
      </w:r>
      <w:r>
        <w:rPr>
          <w:rFonts w:ascii="Arial" w:hAnsi="Arial" w:cs="Arial"/>
        </w:rPr>
        <w:t xml:space="preserve"> des </w:t>
      </w:r>
      <w:r w:rsidR="00317AF1" w:rsidRPr="00277CE1">
        <w:rPr>
          <w:rFonts w:ascii="Arial" w:hAnsi="Arial" w:cs="Arial"/>
          <w:bCs/>
          <w:lang w:eastAsia="de-DE"/>
        </w:rPr>
        <w:t>DASV Deutsche Anwalts- und Steuerberatervereinigung für die mittelständische Wirtschaft e. V. mit Sitz in Kiel</w:t>
      </w:r>
      <w:r w:rsidR="00317AF1">
        <w:rPr>
          <w:rFonts w:ascii="Arial" w:hAnsi="Arial" w:cs="Arial"/>
          <w:bCs/>
          <w:lang w:eastAsia="de-DE"/>
        </w:rPr>
        <w:t>.</w:t>
      </w:r>
      <w:r w:rsidR="00317AF1">
        <w:rPr>
          <w:rFonts w:ascii="Arial" w:hAnsi="Arial" w:cs="Arial"/>
          <w:bCs/>
          <w:lang w:eastAsia="de-DE"/>
        </w:rPr>
        <w:t xml:space="preserve"> </w:t>
      </w:r>
      <w:r>
        <w:rPr>
          <w:rFonts w:ascii="Arial" w:hAnsi="Arial" w:cs="Arial"/>
        </w:rPr>
        <w:t>unter Hinweis auf die Mitteilung des Bundesarbeitsgerichts (BAG) zu seinem Urteil vom 23. März 2021 - 3 AZR 24/20.</w:t>
      </w:r>
    </w:p>
    <w:p w:rsidR="0016689D" w:rsidRDefault="0016689D" w:rsidP="003B0904">
      <w:pPr>
        <w:spacing w:line="360" w:lineRule="auto"/>
        <w:jc w:val="both"/>
        <w:rPr>
          <w:rFonts w:ascii="Arial" w:hAnsi="Arial" w:cs="Arial"/>
        </w:rPr>
      </w:pPr>
    </w:p>
    <w:p w:rsidR="0016689D" w:rsidRDefault="0016689D" w:rsidP="003B0904">
      <w:pPr>
        <w:spacing w:line="360" w:lineRule="auto"/>
        <w:jc w:val="both"/>
        <w:rPr>
          <w:rFonts w:ascii="Arial" w:hAnsi="Arial" w:cs="Arial"/>
        </w:rPr>
      </w:pPr>
      <w:r>
        <w:rPr>
          <w:rFonts w:ascii="Arial" w:hAnsi="Arial" w:cs="Arial"/>
        </w:rPr>
        <w:t xml:space="preserve">Die Klägerin war annähernd 40 Jahre bei der Beklagten überwiegend in Teilzeit beschäftigt. Seit dem 1. Mai 2017 bezieht sie auf Grundlage der im Betrieb der Beklagten geltenden Konzernbetriebsvereinbarung („Leistungsordnung“) ein betriebliches Altersruhegeld. Dessen Höhe hängt von dem zum Ende des Arbeitsverhältnisses erreichten versorgungsfähigen Einkommen und den zurückgelegten anrechnungsfähigen Dienstjahren ab. Soweit das maßgebende Einkommen ein Entgelt für Teilzeitarbeit ist, wird das Einkommen zugrunde gelegt, das der Mitarbeiter in Vollzeit erzielt hätte. Die Leistungsordnung enthält ferner eine Regelung, wonach Dienstzeiten in Teilzeitarbeit nur anteilig angerechnet werden. Die anrechnungsfähige Dienstzeit ist auf höchstens 35 Jahre begrenzt. Wird dieser Zeitraum überschritten, werden die Jahre mit dem für den Arbeitnehmer günstigsten Verhältnis berücksichtigt. Nach der Leistungsordnung gilt für das Altersruhegeld eine absolute Höchstgrenze von 1.375,00 Euro im Monat, wenn das Einkommen bei Eintritt des Versorgungsfalls die maßgebende Beitragsbemessungsgrenze in der gesetzlichen Rentenversicherung übersteigt. Bei der Klägerin sieht die Leistungsordnung einen Teilzeitfaktor von 0,9053 vor, obwohl sie in ihrem annähernd 40 Jahre bestehenden </w:t>
      </w:r>
      <w:r>
        <w:rPr>
          <w:rFonts w:ascii="Arial" w:hAnsi="Arial" w:cs="Arial"/>
        </w:rPr>
        <w:lastRenderedPageBreak/>
        <w:t xml:space="preserve">Arbeitsverhältnis insgesamt 34,4 Vollzeitarbeitsjahre gearbeitet hat. Gegen die Berücksichtigung des Teilzeitfaktors hat sich die Klägerin mit ihrer auf die Zahlung der Differenz zum höchstmöglichen Altersruhegeld gerichteten Klage gewandt. </w:t>
      </w:r>
    </w:p>
    <w:p w:rsidR="0016689D" w:rsidRDefault="0016689D" w:rsidP="003B0904">
      <w:pPr>
        <w:spacing w:line="360" w:lineRule="auto"/>
        <w:jc w:val="both"/>
        <w:rPr>
          <w:rFonts w:ascii="Arial" w:hAnsi="Arial" w:cs="Arial"/>
        </w:rPr>
      </w:pPr>
    </w:p>
    <w:p w:rsidR="0016689D" w:rsidRDefault="0016689D" w:rsidP="003B0904">
      <w:pPr>
        <w:spacing w:line="360" w:lineRule="auto"/>
        <w:jc w:val="both"/>
        <w:rPr>
          <w:rFonts w:ascii="Arial" w:hAnsi="Arial" w:cs="Arial"/>
        </w:rPr>
      </w:pPr>
      <w:r>
        <w:rPr>
          <w:rFonts w:ascii="Arial" w:hAnsi="Arial" w:cs="Arial"/>
        </w:rPr>
        <w:t xml:space="preserve">Das Arbeitsgericht hat die Klage abgewiesen. Das Landesarbeitsgericht hat ihr teilweise stattgegeben. </w:t>
      </w:r>
    </w:p>
    <w:p w:rsidR="003B0904" w:rsidRDefault="003B0904" w:rsidP="003B0904">
      <w:pPr>
        <w:spacing w:line="360" w:lineRule="auto"/>
        <w:jc w:val="both"/>
        <w:rPr>
          <w:rFonts w:ascii="Arial" w:hAnsi="Arial" w:cs="Arial"/>
        </w:rPr>
      </w:pPr>
    </w:p>
    <w:p w:rsidR="0016689D" w:rsidRDefault="0016689D" w:rsidP="003B0904">
      <w:pPr>
        <w:spacing w:line="360" w:lineRule="auto"/>
        <w:jc w:val="both"/>
        <w:rPr>
          <w:rFonts w:ascii="Arial" w:hAnsi="Arial" w:cs="Arial"/>
        </w:rPr>
      </w:pPr>
      <w:r>
        <w:rPr>
          <w:rFonts w:ascii="Arial" w:hAnsi="Arial" w:cs="Arial"/>
        </w:rPr>
        <w:t xml:space="preserve">Die Revision der Beklagten hatte - im Gegensatz zur Anschlussrevision der Klägerin - vor dem Dritten Senat des Bundesarbeitsgerichts Erfolg. </w:t>
      </w:r>
    </w:p>
    <w:p w:rsidR="0016689D" w:rsidRDefault="0016689D" w:rsidP="003B0904">
      <w:pPr>
        <w:spacing w:line="360" w:lineRule="auto"/>
        <w:jc w:val="both"/>
        <w:rPr>
          <w:rFonts w:ascii="Arial" w:hAnsi="Arial" w:cs="Arial"/>
        </w:rPr>
      </w:pPr>
    </w:p>
    <w:p w:rsidR="0016689D" w:rsidRDefault="0016689D" w:rsidP="003B0904">
      <w:pPr>
        <w:spacing w:line="360" w:lineRule="auto"/>
        <w:jc w:val="both"/>
        <w:rPr>
          <w:rFonts w:ascii="Arial" w:hAnsi="Arial" w:cs="Arial"/>
        </w:rPr>
      </w:pPr>
      <w:r>
        <w:rPr>
          <w:rFonts w:ascii="Arial" w:hAnsi="Arial" w:cs="Arial"/>
        </w:rPr>
        <w:t xml:space="preserve">Die insgesamt klageabweisende Entscheidung des Arbeitsgerichts wurde wiederhergestellt. Die in der Leistungsordnung vorgesehene Berechnung des Altersruhegelds unter Berücksichtigung eines Teilzeitgrads ist wirksam. Die Klägerin wird nicht </w:t>
      </w:r>
      <w:proofErr w:type="spellStart"/>
      <w:r>
        <w:rPr>
          <w:rFonts w:ascii="Arial" w:hAnsi="Arial" w:cs="Arial"/>
        </w:rPr>
        <w:t>iSv</w:t>
      </w:r>
      <w:proofErr w:type="spellEnd"/>
      <w:r>
        <w:rPr>
          <w:rFonts w:ascii="Arial" w:hAnsi="Arial" w:cs="Arial"/>
        </w:rPr>
        <w:t xml:space="preserve">. § 4 Abs. 1 </w:t>
      </w:r>
      <w:proofErr w:type="spellStart"/>
      <w:r>
        <w:rPr>
          <w:rFonts w:ascii="Arial" w:hAnsi="Arial" w:cs="Arial"/>
        </w:rPr>
        <w:t>TzBfG</w:t>
      </w:r>
      <w:proofErr w:type="spellEnd"/>
      <w:r>
        <w:rPr>
          <w:rFonts w:ascii="Arial" w:hAnsi="Arial" w:cs="Arial"/>
        </w:rPr>
        <w:t xml:space="preserve"> wegen ihrer Teilzeitarbeit benachteiligt, weil ihre über annähernd 40 Jahre erbrachte Arbeitsleistung nicht in 34,4 Vollzeitarbeitsjahre umgerechnet wurde. Mit einem Arbeitnehmer, der 34,4 Jahre in Vollzeit gearbeitet und dann in den Altersruhestand getreten ist, ist sie nicht vergleichbar. Auch kann sie nicht mit Erfolg geltend machen, dass sie wegen ihrer Teilzeitarbeit benachteiligt wird, weil der nach der Leistungsordnung ermittelte Teilzeitfaktor auch auf die Versorgungshöchstgrenze angewandt wird. Sie erhält vielmehr ein Altersruhegeld in dem Umfang, der ihrer erbrachten Arbeitsleistung im Verhältnis zur Arbeitsleistung eines gleich lange im Unternehmen der Beklagten in Vollzeit tätigen Arbeitnehmers entspricht. Das ist zulässig</w:t>
      </w:r>
    </w:p>
    <w:p w:rsidR="0016689D" w:rsidRDefault="0016689D" w:rsidP="003B0904">
      <w:pPr>
        <w:spacing w:line="360" w:lineRule="auto"/>
        <w:jc w:val="both"/>
        <w:rPr>
          <w:rFonts w:ascii="Arial" w:hAnsi="Arial" w:cs="Arial"/>
        </w:rPr>
      </w:pPr>
    </w:p>
    <w:p w:rsidR="00317AF1" w:rsidRDefault="0016689D" w:rsidP="00317AF1">
      <w:pPr>
        <w:spacing w:line="360" w:lineRule="auto"/>
        <w:jc w:val="both"/>
        <w:rPr>
          <w:rFonts w:ascii="Arial" w:hAnsi="Arial" w:cs="Arial"/>
        </w:rPr>
      </w:pPr>
      <w:r>
        <w:rPr>
          <w:rFonts w:ascii="Arial" w:hAnsi="Arial" w:cs="Arial"/>
        </w:rPr>
        <w:t xml:space="preserve">Henn empfahl, die Entscheidung zu beachten und in Zweifelsfällen rechtlichen Rat einzuholen, wobei er u. a. dazu auch auf </w:t>
      </w:r>
      <w:r w:rsidR="00317AF1">
        <w:rPr>
          <w:rFonts w:ascii="Arial" w:hAnsi="Arial" w:cs="Arial"/>
        </w:rPr>
        <w:t xml:space="preserve">den </w:t>
      </w:r>
      <w:r w:rsidR="00317AF1" w:rsidRPr="00277CE1">
        <w:rPr>
          <w:rFonts w:ascii="Arial" w:hAnsi="Arial" w:cs="Arial"/>
        </w:rPr>
        <w:t xml:space="preserve">DASV Deutsche Anwalts- und Steuerberatervereinigung für die mittelständische Wirtschaft e. V. – </w:t>
      </w:r>
      <w:hyperlink r:id="rId6" w:history="1">
        <w:r w:rsidR="00317AF1" w:rsidRPr="00277CE1">
          <w:rPr>
            <w:rStyle w:val="Hyperlink"/>
            <w:rFonts w:ascii="Arial" w:hAnsi="Arial" w:cs="Arial"/>
          </w:rPr>
          <w:t>www.mittelstands-anwaelte.de</w:t>
        </w:r>
      </w:hyperlink>
      <w:bookmarkStart w:id="2" w:name="_GoBack"/>
      <w:bookmarkEnd w:id="2"/>
      <w:r w:rsidR="00317AF1" w:rsidRPr="00277CE1">
        <w:rPr>
          <w:rFonts w:ascii="Arial" w:hAnsi="Arial" w:cs="Arial"/>
        </w:rPr>
        <w:t xml:space="preserve"> - verwies. </w:t>
      </w:r>
    </w:p>
    <w:p w:rsidR="003B0904" w:rsidRDefault="003B0904" w:rsidP="003B0904">
      <w:pPr>
        <w:spacing w:line="360" w:lineRule="auto"/>
        <w:jc w:val="both"/>
        <w:rPr>
          <w:rFonts w:ascii="Arial" w:hAnsi="Arial" w:cs="Arial"/>
          <w:b/>
          <w:bCs/>
        </w:rPr>
      </w:pPr>
    </w:p>
    <w:p w:rsidR="003B0904" w:rsidRPr="00284168" w:rsidRDefault="003B0904" w:rsidP="003B0904">
      <w:pPr>
        <w:ind w:right="11"/>
        <w:jc w:val="both"/>
        <w:rPr>
          <w:rFonts w:ascii="Arial" w:eastAsia="MS Mincho" w:hAnsi="Arial" w:cs="Arial"/>
          <w:sz w:val="20"/>
          <w:szCs w:val="20"/>
          <w:lang w:eastAsia="de-DE"/>
        </w:rPr>
      </w:pPr>
      <w:r w:rsidRPr="00284168">
        <w:rPr>
          <w:rFonts w:ascii="Arial" w:eastAsia="MS Mincho" w:hAnsi="Arial" w:cs="Arial"/>
          <w:sz w:val="20"/>
          <w:szCs w:val="20"/>
          <w:lang w:eastAsia="de-DE"/>
        </w:rPr>
        <w:t>Der Autor ist Vorstandsmitglied der Deutschen Anwalts- und Steuerberatervereinigung für die mittelständische Wirtschaft e.V</w:t>
      </w:r>
      <w:r>
        <w:rPr>
          <w:rFonts w:ascii="Arial" w:eastAsia="MS Mincho" w:hAnsi="Arial" w:cs="Arial"/>
          <w:sz w:val="20"/>
          <w:szCs w:val="20"/>
          <w:lang w:eastAsia="de-DE"/>
        </w:rPr>
        <w:t>.</w:t>
      </w:r>
      <w:r w:rsidRPr="00284168">
        <w:rPr>
          <w:rFonts w:ascii="Arial" w:eastAsia="MS Mincho" w:hAnsi="Arial" w:cs="Arial"/>
          <w:sz w:val="20"/>
          <w:szCs w:val="20"/>
          <w:lang w:eastAsia="de-DE"/>
        </w:rPr>
        <w:t xml:space="preserve"> und Schriftleiter der mittelstandsdepesche. </w:t>
      </w:r>
    </w:p>
    <w:p w:rsidR="003B0904" w:rsidRPr="00284168" w:rsidRDefault="003B0904" w:rsidP="003B0904">
      <w:pPr>
        <w:rPr>
          <w:rFonts w:ascii="Arial" w:eastAsia="MS Mincho" w:hAnsi="Arial"/>
          <w:sz w:val="20"/>
          <w:szCs w:val="20"/>
          <w:lang w:eastAsia="de-DE"/>
        </w:rPr>
      </w:pPr>
      <w:r w:rsidRPr="00284168">
        <w:rPr>
          <w:rFonts w:ascii="Arial" w:eastAsia="MS Mincho" w:hAnsi="Arial"/>
          <w:sz w:val="20"/>
          <w:szCs w:val="20"/>
          <w:lang w:eastAsia="de-DE"/>
        </w:rPr>
        <w:t> </w:t>
      </w:r>
    </w:p>
    <w:p w:rsidR="003B0904" w:rsidRPr="00284168" w:rsidRDefault="003B0904" w:rsidP="003B0904">
      <w:pPr>
        <w:ind w:right="11"/>
        <w:rPr>
          <w:rFonts w:ascii="Arial" w:eastAsia="MS Mincho" w:hAnsi="Arial" w:cs="Arial"/>
          <w:sz w:val="20"/>
          <w:szCs w:val="20"/>
          <w:lang w:eastAsia="de-DE"/>
        </w:rPr>
      </w:pPr>
      <w:r w:rsidRPr="00284168">
        <w:rPr>
          <w:rFonts w:ascii="Arial" w:eastAsia="MS Mincho" w:hAnsi="Arial" w:cs="Arial"/>
          <w:sz w:val="20"/>
          <w:szCs w:val="20"/>
          <w:lang w:eastAsia="de-DE"/>
        </w:rPr>
        <w:t>Für Rückfragen steht Ihnen der Autor gerne zur Verfügung</w:t>
      </w:r>
    </w:p>
    <w:p w:rsidR="003B0904" w:rsidRPr="00284168" w:rsidRDefault="003B0904" w:rsidP="003B0904">
      <w:pPr>
        <w:spacing w:line="360" w:lineRule="auto"/>
        <w:jc w:val="both"/>
        <w:rPr>
          <w:rFonts w:ascii="Arial" w:hAnsi="Arial" w:cs="Arial"/>
        </w:rPr>
      </w:pPr>
    </w:p>
    <w:p w:rsidR="003B0904" w:rsidRPr="00284168" w:rsidRDefault="003B0904" w:rsidP="003B0904">
      <w:pPr>
        <w:jc w:val="both"/>
        <w:rPr>
          <w:rFonts w:ascii="Arial" w:eastAsia="Times New Roman" w:hAnsi="Arial" w:cs="Arial"/>
          <w:sz w:val="20"/>
          <w:szCs w:val="20"/>
        </w:rPr>
      </w:pPr>
      <w:r w:rsidRPr="00284168">
        <w:rPr>
          <w:rFonts w:ascii="Arial" w:eastAsia="Times New Roman" w:hAnsi="Arial" w:cs="Arial"/>
          <w:sz w:val="20"/>
          <w:szCs w:val="20"/>
        </w:rPr>
        <w:t>Michael Henn</w:t>
      </w:r>
    </w:p>
    <w:p w:rsidR="003B0904" w:rsidRPr="00284168" w:rsidRDefault="003B0904" w:rsidP="003B0904">
      <w:pPr>
        <w:jc w:val="both"/>
        <w:rPr>
          <w:rFonts w:ascii="Arial" w:eastAsia="Times New Roman" w:hAnsi="Arial" w:cs="Arial"/>
          <w:sz w:val="20"/>
          <w:szCs w:val="20"/>
        </w:rPr>
      </w:pPr>
      <w:r w:rsidRPr="00284168">
        <w:rPr>
          <w:rFonts w:ascii="Arial" w:eastAsia="Times New Roman" w:hAnsi="Arial" w:cs="Arial"/>
          <w:sz w:val="20"/>
          <w:szCs w:val="20"/>
        </w:rPr>
        <w:t>Rechtsanwalt</w:t>
      </w:r>
    </w:p>
    <w:p w:rsidR="003B0904" w:rsidRPr="00284168" w:rsidRDefault="003B0904" w:rsidP="003B0904">
      <w:pPr>
        <w:jc w:val="both"/>
        <w:rPr>
          <w:rFonts w:ascii="Arial" w:eastAsia="Times New Roman" w:hAnsi="Arial" w:cs="Arial"/>
          <w:sz w:val="20"/>
          <w:szCs w:val="20"/>
        </w:rPr>
      </w:pPr>
      <w:r w:rsidRPr="00284168">
        <w:rPr>
          <w:rFonts w:ascii="Arial" w:eastAsia="Times New Roman" w:hAnsi="Arial" w:cs="Arial"/>
          <w:sz w:val="20"/>
          <w:szCs w:val="20"/>
        </w:rPr>
        <w:t>Fachanwalt für Erbrecht</w:t>
      </w:r>
    </w:p>
    <w:p w:rsidR="003B0904" w:rsidRPr="00284168" w:rsidRDefault="003B0904" w:rsidP="003B0904">
      <w:pPr>
        <w:jc w:val="both"/>
        <w:rPr>
          <w:rFonts w:ascii="Arial" w:eastAsia="Times New Roman" w:hAnsi="Arial" w:cs="Arial"/>
          <w:sz w:val="20"/>
          <w:szCs w:val="20"/>
        </w:rPr>
      </w:pPr>
      <w:r w:rsidRPr="00284168">
        <w:rPr>
          <w:rFonts w:ascii="Arial" w:eastAsia="Times New Roman" w:hAnsi="Arial" w:cs="Arial"/>
          <w:sz w:val="20"/>
          <w:szCs w:val="20"/>
        </w:rPr>
        <w:t xml:space="preserve">Fachanwalt für Arbeitsrecht </w:t>
      </w:r>
    </w:p>
    <w:p w:rsidR="003B0904" w:rsidRPr="00284168" w:rsidRDefault="003B0904" w:rsidP="003B0904">
      <w:pPr>
        <w:jc w:val="both"/>
        <w:rPr>
          <w:rFonts w:ascii="Arial" w:eastAsia="Times New Roman" w:hAnsi="Arial" w:cs="Arial"/>
          <w:sz w:val="20"/>
          <w:szCs w:val="20"/>
        </w:rPr>
      </w:pPr>
      <w:r w:rsidRPr="00284168">
        <w:rPr>
          <w:rFonts w:ascii="Arial" w:eastAsia="Times New Roman" w:hAnsi="Arial" w:cs="Arial"/>
          <w:sz w:val="20"/>
          <w:szCs w:val="20"/>
        </w:rPr>
        <w:t xml:space="preserve">Schriftleiter mittelstandsdepesche </w:t>
      </w:r>
    </w:p>
    <w:p w:rsidR="003B0904" w:rsidRPr="00284168" w:rsidRDefault="003B0904" w:rsidP="003B0904">
      <w:pPr>
        <w:jc w:val="both"/>
        <w:rPr>
          <w:rFonts w:ascii="Arial" w:eastAsia="Times New Roman" w:hAnsi="Arial" w:cs="Arial"/>
          <w:sz w:val="20"/>
          <w:szCs w:val="20"/>
        </w:rPr>
      </w:pPr>
      <w:r w:rsidRPr="00284168">
        <w:rPr>
          <w:rFonts w:ascii="Arial" w:eastAsia="Times New Roman" w:hAnsi="Arial" w:cs="Arial"/>
          <w:sz w:val="20"/>
          <w:szCs w:val="20"/>
        </w:rPr>
        <w:t xml:space="preserve">Rechtsanwälte Dr. Gaupp &amp; </w:t>
      </w:r>
      <w:proofErr w:type="spellStart"/>
      <w:r w:rsidRPr="00284168">
        <w:rPr>
          <w:rFonts w:ascii="Arial" w:eastAsia="Times New Roman" w:hAnsi="Arial" w:cs="Arial"/>
          <w:sz w:val="20"/>
          <w:szCs w:val="20"/>
        </w:rPr>
        <w:t>Coll</w:t>
      </w:r>
      <w:proofErr w:type="spellEnd"/>
      <w:r w:rsidRPr="00284168">
        <w:rPr>
          <w:rFonts w:ascii="Arial" w:eastAsia="Times New Roman" w:hAnsi="Arial" w:cs="Arial"/>
          <w:sz w:val="20"/>
          <w:szCs w:val="20"/>
        </w:rPr>
        <w:t>.</w:t>
      </w:r>
    </w:p>
    <w:p w:rsidR="003B0904" w:rsidRPr="00284168" w:rsidRDefault="003B0904" w:rsidP="003B0904">
      <w:pPr>
        <w:jc w:val="both"/>
        <w:rPr>
          <w:rFonts w:ascii="Arial" w:eastAsia="Times New Roman" w:hAnsi="Arial" w:cs="Arial"/>
          <w:sz w:val="20"/>
          <w:szCs w:val="20"/>
        </w:rPr>
      </w:pPr>
      <w:r w:rsidRPr="00284168">
        <w:rPr>
          <w:rFonts w:ascii="Arial" w:eastAsia="Times New Roman" w:hAnsi="Arial" w:cs="Arial"/>
          <w:sz w:val="20"/>
          <w:szCs w:val="20"/>
        </w:rPr>
        <w:t xml:space="preserve">Kronprinzstr. 14 </w:t>
      </w:r>
    </w:p>
    <w:p w:rsidR="003B0904" w:rsidRPr="00284168" w:rsidRDefault="003B0904" w:rsidP="003B0904">
      <w:pPr>
        <w:jc w:val="both"/>
        <w:rPr>
          <w:rFonts w:ascii="Arial" w:eastAsia="Times New Roman" w:hAnsi="Arial" w:cs="Arial"/>
          <w:sz w:val="20"/>
          <w:szCs w:val="20"/>
        </w:rPr>
      </w:pPr>
      <w:r w:rsidRPr="00284168">
        <w:rPr>
          <w:rFonts w:ascii="Arial" w:eastAsia="Times New Roman" w:hAnsi="Arial" w:cs="Arial"/>
          <w:sz w:val="20"/>
          <w:szCs w:val="20"/>
        </w:rPr>
        <w:t>70173 Stuttgart</w:t>
      </w:r>
    </w:p>
    <w:p w:rsidR="003B0904" w:rsidRPr="00284168" w:rsidRDefault="003B0904" w:rsidP="003B0904">
      <w:pPr>
        <w:jc w:val="both"/>
        <w:rPr>
          <w:rFonts w:ascii="Arial" w:eastAsia="Times New Roman" w:hAnsi="Arial" w:cs="Arial"/>
          <w:sz w:val="20"/>
          <w:szCs w:val="20"/>
        </w:rPr>
      </w:pPr>
      <w:r w:rsidRPr="00284168">
        <w:rPr>
          <w:rFonts w:ascii="Arial" w:eastAsia="Times New Roman" w:hAnsi="Arial" w:cs="Arial"/>
          <w:sz w:val="20"/>
          <w:szCs w:val="20"/>
        </w:rPr>
        <w:t>Tel.: 0711/ 30 58 93-0</w:t>
      </w:r>
      <w:r w:rsidRPr="00284168">
        <w:rPr>
          <w:rFonts w:ascii="Arial" w:eastAsia="Times New Roman" w:hAnsi="Arial" w:cs="Arial"/>
          <w:sz w:val="20"/>
          <w:szCs w:val="20"/>
        </w:rPr>
        <w:tab/>
      </w:r>
      <w:r w:rsidRPr="00284168">
        <w:rPr>
          <w:rFonts w:ascii="Arial" w:eastAsia="Times New Roman" w:hAnsi="Arial" w:cs="Arial"/>
          <w:sz w:val="20"/>
          <w:szCs w:val="20"/>
        </w:rPr>
        <w:tab/>
        <w:t>Fax: 0711/ 30 58 93-11</w:t>
      </w:r>
    </w:p>
    <w:p w:rsidR="003B0904" w:rsidRDefault="003B0904" w:rsidP="003B0904">
      <w:pPr>
        <w:jc w:val="both"/>
        <w:rPr>
          <w:rFonts w:ascii="Arial" w:eastAsia="Times New Roman" w:hAnsi="Arial" w:cs="Arial"/>
          <w:sz w:val="20"/>
          <w:szCs w:val="20"/>
        </w:rPr>
      </w:pPr>
      <w:r>
        <w:rPr>
          <w:rFonts w:ascii="Arial" w:eastAsia="Times New Roman" w:hAnsi="Arial" w:cs="Arial"/>
          <w:sz w:val="20"/>
          <w:szCs w:val="20"/>
        </w:rPr>
        <w:t>E</w:t>
      </w:r>
      <w:r w:rsidRPr="00284168">
        <w:rPr>
          <w:rFonts w:ascii="Arial" w:eastAsia="Times New Roman" w:hAnsi="Arial" w:cs="Arial"/>
          <w:sz w:val="20"/>
          <w:szCs w:val="20"/>
        </w:rPr>
        <w:t xml:space="preserve">-Mail: </w:t>
      </w:r>
      <w:hyperlink r:id="rId7" w:history="1">
        <w:r w:rsidRPr="00B37C5B">
          <w:rPr>
            <w:rStyle w:val="Hyperlink"/>
            <w:rFonts w:ascii="Arial" w:eastAsia="Times New Roman" w:hAnsi="Arial" w:cs="Arial"/>
            <w:sz w:val="20"/>
            <w:szCs w:val="20"/>
          </w:rPr>
          <w:t>henn@drgaupp.de</w:t>
        </w:r>
      </w:hyperlink>
      <w:r>
        <w:rPr>
          <w:rFonts w:ascii="Arial" w:eastAsia="Times New Roman" w:hAnsi="Arial" w:cs="Arial"/>
          <w:sz w:val="20"/>
          <w:szCs w:val="20"/>
        </w:rPr>
        <w:t xml:space="preserve">   </w:t>
      </w:r>
      <w:r w:rsidRPr="00284168">
        <w:rPr>
          <w:rFonts w:ascii="Arial" w:eastAsia="Times New Roman" w:hAnsi="Arial" w:cs="Arial"/>
          <w:sz w:val="20"/>
          <w:szCs w:val="20"/>
        </w:rPr>
        <w:tab/>
      </w:r>
      <w:hyperlink r:id="rId8" w:history="1">
        <w:r w:rsidRPr="00B37C5B">
          <w:rPr>
            <w:rStyle w:val="Hyperlink"/>
            <w:rFonts w:ascii="Arial" w:eastAsia="Times New Roman" w:hAnsi="Arial" w:cs="Arial"/>
            <w:sz w:val="20"/>
            <w:szCs w:val="20"/>
          </w:rPr>
          <w:t>www.drgaupp.de</w:t>
        </w:r>
      </w:hyperlink>
    </w:p>
    <w:p w:rsidR="003B0904" w:rsidRDefault="003B0904" w:rsidP="003B0904">
      <w:pPr>
        <w:spacing w:line="360" w:lineRule="auto"/>
        <w:jc w:val="both"/>
        <w:rPr>
          <w:rFonts w:ascii="Arial" w:hAnsi="Arial" w:cs="Arial"/>
        </w:rPr>
      </w:pPr>
    </w:p>
    <w:sectPr w:rsidR="003B090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04" w:rsidRDefault="003B0904" w:rsidP="003B0904">
      <w:r>
        <w:separator/>
      </w:r>
    </w:p>
  </w:endnote>
  <w:endnote w:type="continuationSeparator" w:id="0">
    <w:p w:rsidR="003B0904" w:rsidRDefault="003B0904" w:rsidP="003B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04" w:rsidRDefault="003B0904" w:rsidP="003B0904">
      <w:r>
        <w:separator/>
      </w:r>
    </w:p>
  </w:footnote>
  <w:footnote w:type="continuationSeparator" w:id="0">
    <w:p w:rsidR="003B0904" w:rsidRDefault="003B0904" w:rsidP="003B0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04" w:rsidRPr="003F5516" w:rsidRDefault="003B0904" w:rsidP="003B0904">
    <w:pPr>
      <w:tabs>
        <w:tab w:val="center" w:pos="4819"/>
        <w:tab w:val="right" w:pos="9071"/>
      </w:tabs>
      <w:jc w:val="center"/>
      <w:rPr>
        <w:rFonts w:ascii="Arial" w:hAnsi="Arial" w:cs="Arial"/>
        <w:szCs w:val="20"/>
      </w:rPr>
    </w:pPr>
    <w:r>
      <w:rPr>
        <w:rFonts w:ascii="Arial" w:hAnsi="Arial" w:cs="Arial"/>
        <w:b/>
        <w:bCs/>
        <w:sz w:val="28"/>
        <w:szCs w:val="28"/>
      </w:rPr>
      <w:t>mittelstandsdepesche 03</w:t>
    </w:r>
    <w:r w:rsidRPr="003F5516">
      <w:rPr>
        <w:rFonts w:ascii="Arial" w:hAnsi="Arial" w:cs="Arial"/>
        <w:b/>
        <w:bCs/>
        <w:sz w:val="28"/>
        <w:szCs w:val="28"/>
      </w:rPr>
      <w:t>-20</w:t>
    </w:r>
    <w:r w:rsidR="00D30CAA">
      <w:rPr>
        <w:rFonts w:ascii="Arial" w:hAnsi="Arial" w:cs="Arial"/>
        <w:b/>
        <w:bCs/>
        <w:sz w:val="28"/>
        <w:szCs w:val="28"/>
      </w:rPr>
      <w:t>2</w:t>
    </w:r>
    <w:r w:rsidRPr="003F5516">
      <w:rPr>
        <w:rFonts w:ascii="Arial" w:hAnsi="Arial" w:cs="Arial"/>
        <w:b/>
        <w:bCs/>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9D"/>
    <w:rsid w:val="0016689D"/>
    <w:rsid w:val="00317AF1"/>
    <w:rsid w:val="003B0904"/>
    <w:rsid w:val="00932100"/>
    <w:rsid w:val="009C0973"/>
    <w:rsid w:val="00D30C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D66A8-2961-4059-B879-EE777D72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689D"/>
    <w:pPr>
      <w:spacing w:after="0" w:line="240" w:lineRule="auto"/>
    </w:pPr>
    <w:rPr>
      <w:rFonts w:ascii="Calibri" w:hAnsi="Calibri" w:cs="Calibri"/>
    </w:rPr>
  </w:style>
  <w:style w:type="paragraph" w:styleId="berschrift1">
    <w:name w:val="heading 1"/>
    <w:basedOn w:val="Standard"/>
    <w:link w:val="berschrift1Zchn"/>
    <w:uiPriority w:val="99"/>
    <w:qFormat/>
    <w:rsid w:val="0016689D"/>
    <w:pPr>
      <w:keepNext/>
      <w:spacing w:before="240" w:after="60"/>
      <w:outlineLvl w:val="0"/>
    </w:pPr>
    <w:rPr>
      <w:rFonts w:ascii="Cambria" w:hAnsi="Cambria" w:cs="Times New Roman"/>
      <w:b/>
      <w:bCs/>
      <w:kern w:val="3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16689D"/>
    <w:rPr>
      <w:rFonts w:ascii="Cambria" w:hAnsi="Cambria" w:cs="Times New Roman"/>
      <w:b/>
      <w:bCs/>
      <w:kern w:val="36"/>
      <w:sz w:val="32"/>
      <w:szCs w:val="32"/>
    </w:rPr>
  </w:style>
  <w:style w:type="character" w:styleId="Hyperlink">
    <w:name w:val="Hyperlink"/>
    <w:basedOn w:val="Absatz-Standardschriftart"/>
    <w:uiPriority w:val="99"/>
    <w:unhideWhenUsed/>
    <w:rsid w:val="0016689D"/>
    <w:rPr>
      <w:color w:val="0563C1"/>
      <w:u w:val="single"/>
    </w:rPr>
  </w:style>
  <w:style w:type="paragraph" w:styleId="Kopfzeile">
    <w:name w:val="header"/>
    <w:basedOn w:val="Standard"/>
    <w:link w:val="KopfzeileZchn"/>
    <w:uiPriority w:val="99"/>
    <w:unhideWhenUsed/>
    <w:rsid w:val="003B0904"/>
    <w:pPr>
      <w:tabs>
        <w:tab w:val="center" w:pos="4536"/>
        <w:tab w:val="right" w:pos="9072"/>
      </w:tabs>
    </w:pPr>
  </w:style>
  <w:style w:type="character" w:customStyle="1" w:styleId="KopfzeileZchn">
    <w:name w:val="Kopfzeile Zchn"/>
    <w:basedOn w:val="Absatz-Standardschriftart"/>
    <w:link w:val="Kopfzeile"/>
    <w:uiPriority w:val="99"/>
    <w:rsid w:val="003B0904"/>
    <w:rPr>
      <w:rFonts w:ascii="Calibri" w:hAnsi="Calibri" w:cs="Calibri"/>
    </w:rPr>
  </w:style>
  <w:style w:type="paragraph" w:styleId="Fuzeile">
    <w:name w:val="footer"/>
    <w:basedOn w:val="Standard"/>
    <w:link w:val="FuzeileZchn"/>
    <w:uiPriority w:val="99"/>
    <w:unhideWhenUsed/>
    <w:rsid w:val="003B0904"/>
    <w:pPr>
      <w:tabs>
        <w:tab w:val="center" w:pos="4536"/>
        <w:tab w:val="right" w:pos="9072"/>
      </w:tabs>
    </w:pPr>
  </w:style>
  <w:style w:type="character" w:customStyle="1" w:styleId="FuzeileZchn">
    <w:name w:val="Fußzeile Zchn"/>
    <w:basedOn w:val="Absatz-Standardschriftart"/>
    <w:link w:val="Fuzeile"/>
    <w:uiPriority w:val="99"/>
    <w:rsid w:val="003B090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6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henn@drgaup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ttelstands-anwaelt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4149</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4</cp:revision>
  <dcterms:created xsi:type="dcterms:W3CDTF">2021-03-26T15:43:00Z</dcterms:created>
  <dcterms:modified xsi:type="dcterms:W3CDTF">2021-03-27T15:05:00Z</dcterms:modified>
</cp:coreProperties>
</file>