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413" w:rsidRPr="00EB3413" w:rsidRDefault="00EB3413" w:rsidP="00EB3413">
      <w:pPr>
        <w:spacing w:after="0" w:line="240" w:lineRule="auto"/>
        <w:jc w:val="right"/>
        <w:rPr>
          <w:rFonts w:ascii="Arial" w:eastAsia="Times New Roman" w:hAnsi="Arial" w:cs="Arial"/>
          <w:sz w:val="20"/>
          <w:szCs w:val="20"/>
        </w:rPr>
      </w:pPr>
      <w:bookmarkStart w:id="0" w:name="12"/>
      <w:bookmarkStart w:id="1" w:name="2"/>
      <w:bookmarkStart w:id="2" w:name="11"/>
      <w:bookmarkEnd w:id="0"/>
      <w:bookmarkEnd w:id="1"/>
      <w:bookmarkEnd w:id="2"/>
      <w:r w:rsidRPr="00EB3413">
        <w:rPr>
          <w:rFonts w:ascii="Arial" w:eastAsia="Times New Roman" w:hAnsi="Arial" w:cs="Arial"/>
          <w:sz w:val="20"/>
          <w:szCs w:val="20"/>
        </w:rPr>
        <w:t>Deutsche Anwalts- und</w:t>
      </w:r>
    </w:p>
    <w:p w:rsidR="00EB3413" w:rsidRPr="00EB3413" w:rsidRDefault="00EB3413" w:rsidP="00EB3413">
      <w:pPr>
        <w:spacing w:after="0" w:line="240" w:lineRule="auto"/>
        <w:jc w:val="right"/>
        <w:rPr>
          <w:rFonts w:ascii="Arial" w:eastAsia="Times New Roman" w:hAnsi="Arial" w:cs="Arial"/>
          <w:sz w:val="20"/>
          <w:szCs w:val="20"/>
        </w:rPr>
      </w:pPr>
      <w:r w:rsidRPr="00EB3413">
        <w:rPr>
          <w:rFonts w:ascii="Arial" w:eastAsia="Times New Roman" w:hAnsi="Arial" w:cs="Arial"/>
          <w:sz w:val="20"/>
          <w:szCs w:val="20"/>
        </w:rPr>
        <w:t>Steuerberatervereinigung</w:t>
      </w:r>
    </w:p>
    <w:p w:rsidR="00EB3413" w:rsidRPr="00EB3413" w:rsidRDefault="00EB3413" w:rsidP="00EB3413">
      <w:pPr>
        <w:spacing w:after="0" w:line="240" w:lineRule="auto"/>
        <w:jc w:val="right"/>
        <w:rPr>
          <w:rFonts w:ascii="Arial" w:eastAsia="Times New Roman" w:hAnsi="Arial" w:cs="Arial"/>
          <w:sz w:val="20"/>
          <w:szCs w:val="20"/>
        </w:rPr>
      </w:pPr>
      <w:r w:rsidRPr="00EB3413">
        <w:rPr>
          <w:rFonts w:ascii="Arial" w:eastAsia="Times New Roman" w:hAnsi="Arial" w:cs="Arial"/>
          <w:sz w:val="20"/>
          <w:szCs w:val="20"/>
        </w:rPr>
        <w:t>für die mittelständische</w:t>
      </w:r>
    </w:p>
    <w:p w:rsidR="00EB3413" w:rsidRPr="00EB3413" w:rsidRDefault="00EB3413" w:rsidP="00EB3413">
      <w:pPr>
        <w:spacing w:after="0" w:line="240" w:lineRule="auto"/>
        <w:jc w:val="right"/>
        <w:rPr>
          <w:rFonts w:ascii="Arial" w:eastAsia="Times New Roman" w:hAnsi="Arial" w:cs="Arial"/>
          <w:sz w:val="20"/>
          <w:szCs w:val="20"/>
        </w:rPr>
      </w:pPr>
      <w:r w:rsidRPr="00EB3413">
        <w:rPr>
          <w:rFonts w:ascii="Arial" w:eastAsia="Times New Roman" w:hAnsi="Arial" w:cs="Arial"/>
          <w:sz w:val="20"/>
          <w:szCs w:val="20"/>
        </w:rPr>
        <w:t>Wirtschaft e. V.</w:t>
      </w:r>
    </w:p>
    <w:p w:rsidR="00EB3413" w:rsidRPr="00EB3413" w:rsidRDefault="00EB3413" w:rsidP="00EB3413">
      <w:pPr>
        <w:keepNext/>
        <w:spacing w:after="0" w:line="360" w:lineRule="auto"/>
        <w:jc w:val="center"/>
        <w:outlineLvl w:val="1"/>
        <w:rPr>
          <w:rFonts w:ascii="Arial" w:eastAsia="Arial Unicode MS" w:hAnsi="Arial" w:cs="Arial"/>
          <w:b/>
          <w:bCs/>
        </w:rPr>
      </w:pPr>
    </w:p>
    <w:p w:rsidR="00EB3413" w:rsidRPr="00EB3413" w:rsidRDefault="00EB3413" w:rsidP="00EB3413">
      <w:pPr>
        <w:keepNext/>
        <w:spacing w:after="0" w:line="360" w:lineRule="auto"/>
        <w:jc w:val="center"/>
        <w:outlineLvl w:val="1"/>
        <w:rPr>
          <w:rFonts w:ascii="Arial" w:eastAsia="Arial Unicode MS" w:hAnsi="Arial" w:cs="Arial"/>
          <w:b/>
          <w:bCs/>
        </w:rPr>
      </w:pPr>
    </w:p>
    <w:p w:rsidR="00EB3413" w:rsidRPr="00EB3413" w:rsidRDefault="00EB3413" w:rsidP="00EB3413">
      <w:pPr>
        <w:keepNext/>
        <w:spacing w:after="0" w:line="360" w:lineRule="auto"/>
        <w:jc w:val="center"/>
        <w:outlineLvl w:val="1"/>
        <w:rPr>
          <w:rFonts w:ascii="Arial" w:eastAsia="Arial Unicode MS" w:hAnsi="Arial" w:cs="Arial"/>
          <w:b/>
          <w:bCs/>
        </w:rPr>
      </w:pPr>
      <w:r w:rsidRPr="00EB3413">
        <w:rPr>
          <w:rFonts w:ascii="Arial" w:eastAsia="Arial Unicode MS" w:hAnsi="Arial" w:cs="Arial"/>
          <w:b/>
          <w:bCs/>
        </w:rPr>
        <w:t>10 Urteile, die Ihre Leser interessieren könnten</w:t>
      </w:r>
    </w:p>
    <w:p w:rsidR="00EB3413" w:rsidRPr="00EB3413" w:rsidRDefault="00EB3413" w:rsidP="00EB3413">
      <w:pPr>
        <w:spacing w:after="0" w:line="360" w:lineRule="auto"/>
        <w:jc w:val="center"/>
        <w:rPr>
          <w:rFonts w:ascii="Arial" w:eastAsia="Times New Roman" w:hAnsi="Arial" w:cs="Arial"/>
        </w:rPr>
      </w:pPr>
    </w:p>
    <w:p w:rsidR="00EB3413" w:rsidRPr="00EB3413" w:rsidRDefault="00EB3413" w:rsidP="00EB3413">
      <w:pPr>
        <w:spacing w:after="0" w:line="360" w:lineRule="auto"/>
        <w:jc w:val="center"/>
        <w:rPr>
          <w:rFonts w:ascii="Arial" w:eastAsia="Times New Roman" w:hAnsi="Arial" w:cs="Arial"/>
        </w:rPr>
      </w:pPr>
      <w:r w:rsidRPr="00EB3413">
        <w:rPr>
          <w:rFonts w:ascii="Arial" w:eastAsia="Times New Roman" w:hAnsi="Arial" w:cs="Arial"/>
        </w:rPr>
        <w:t>zusammengestellt von Rechtsanwalt/Fachanwalt für Arbeitsrecht u. Fachanwalt für Erbrecht</w:t>
      </w:r>
    </w:p>
    <w:p w:rsidR="00EB3413" w:rsidRPr="00EB3413" w:rsidRDefault="00EB3413" w:rsidP="00EB3413">
      <w:pPr>
        <w:spacing w:after="0" w:line="360" w:lineRule="auto"/>
        <w:jc w:val="center"/>
        <w:outlineLvl w:val="2"/>
        <w:rPr>
          <w:rFonts w:ascii="Arial" w:eastAsia="Arial Unicode MS" w:hAnsi="Arial" w:cs="Arial"/>
        </w:rPr>
      </w:pPr>
      <w:r w:rsidRPr="00EB3413">
        <w:rPr>
          <w:rFonts w:ascii="Arial" w:eastAsia="Arial Unicode MS" w:hAnsi="Arial" w:cs="Arial"/>
        </w:rPr>
        <w:t>Michael Henn, Stuttgart</w:t>
      </w:r>
    </w:p>
    <w:p w:rsidR="00DB3E89" w:rsidRPr="00DB3E89" w:rsidRDefault="00DB3E89" w:rsidP="007811F1">
      <w:pPr>
        <w:spacing w:after="0" w:line="360" w:lineRule="auto"/>
        <w:rPr>
          <w:rFonts w:ascii="Arial" w:eastAsia="Times New Roman" w:hAnsi="Arial" w:cs="Arial"/>
        </w:rPr>
      </w:pPr>
    </w:p>
    <w:p w:rsidR="00DB3E89" w:rsidRPr="00DB3E89" w:rsidRDefault="00DB3E89" w:rsidP="007811F1">
      <w:pPr>
        <w:spacing w:after="0" w:line="360" w:lineRule="auto"/>
        <w:jc w:val="center"/>
        <w:rPr>
          <w:rFonts w:ascii="Arial" w:eastAsia="Times New Roman" w:hAnsi="Arial" w:cs="Arial"/>
          <w:b/>
          <w:bCs/>
        </w:rPr>
      </w:pPr>
      <w:r w:rsidRPr="00DB3E89">
        <w:rPr>
          <w:rFonts w:ascii="Arial" w:eastAsia="Times New Roman" w:hAnsi="Arial" w:cs="Arial"/>
          <w:b/>
          <w:bCs/>
        </w:rPr>
        <w:t>I.</w:t>
      </w:r>
    </w:p>
    <w:p w:rsidR="00DB3E89" w:rsidRPr="00DB3E89" w:rsidRDefault="00DB3E89" w:rsidP="007811F1">
      <w:pPr>
        <w:tabs>
          <w:tab w:val="left" w:pos="8931"/>
        </w:tabs>
        <w:spacing w:after="0" w:line="360" w:lineRule="auto"/>
        <w:jc w:val="center"/>
        <w:rPr>
          <w:rFonts w:ascii="Arial" w:eastAsia="Times New Roman" w:hAnsi="Arial" w:cs="Arial"/>
          <w:b/>
          <w:bCs/>
          <w:u w:val="single"/>
        </w:rPr>
      </w:pPr>
      <w:r w:rsidRPr="00DB3E89">
        <w:rPr>
          <w:rFonts w:ascii="Arial" w:eastAsia="Times New Roman" w:hAnsi="Arial" w:cs="Arial"/>
          <w:b/>
          <w:bCs/>
        </w:rPr>
        <w:t>Herausgabe erhaltener Schmiergelder</w:t>
      </w:r>
    </w:p>
    <w:p w:rsidR="00DB3E89" w:rsidRPr="00DB3E89" w:rsidRDefault="00DB3E89" w:rsidP="007811F1">
      <w:pPr>
        <w:spacing w:after="0" w:line="360" w:lineRule="auto"/>
        <w:jc w:val="center"/>
        <w:rPr>
          <w:rFonts w:ascii="Arial" w:eastAsia="Times New Roman" w:hAnsi="Arial" w:cs="Arial"/>
          <w:b/>
          <w:bCs/>
        </w:rPr>
      </w:pPr>
      <w:r w:rsidRPr="00DB3E89">
        <w:rPr>
          <w:rFonts w:ascii="Arial" w:eastAsia="Times New Roman" w:hAnsi="Arial" w:cs="Arial"/>
          <w:bCs/>
        </w:rPr>
        <w:t>Landesarbeitsgericht München, Urteil vom 08.05.2012, Az. 6 Sa 957/11</w:t>
      </w:r>
    </w:p>
    <w:p w:rsidR="00DB3E89" w:rsidRPr="00DB3E89" w:rsidRDefault="00DB3E89" w:rsidP="007811F1">
      <w:pPr>
        <w:spacing w:after="0" w:line="360" w:lineRule="auto"/>
        <w:jc w:val="both"/>
        <w:rPr>
          <w:rFonts w:ascii="Arial" w:eastAsia="Times New Roman" w:hAnsi="Arial" w:cs="Arial"/>
          <w:b/>
          <w:bCs/>
        </w:rPr>
      </w:pPr>
    </w:p>
    <w:p w:rsidR="00DB3E89" w:rsidRPr="00DB3E89" w:rsidRDefault="00DB3E89" w:rsidP="007811F1">
      <w:pPr>
        <w:numPr>
          <w:ilvl w:val="0"/>
          <w:numId w:val="1"/>
        </w:numPr>
        <w:spacing w:after="0" w:line="360" w:lineRule="auto"/>
        <w:jc w:val="both"/>
        <w:rPr>
          <w:rFonts w:ascii="Arial" w:eastAsia="Times New Roman" w:hAnsi="Arial" w:cs="Arial"/>
        </w:rPr>
      </w:pPr>
      <w:r w:rsidRPr="00DB3E89">
        <w:rPr>
          <w:rFonts w:ascii="Arial" w:eastAsia="Times New Roman" w:hAnsi="Arial" w:cs="Arial"/>
        </w:rPr>
        <w:t xml:space="preserve">Ein Arbeitnehmer hat empfangene Schmiergelder nach §§ 667, 681, 687 Abs. 2 BGB an den Arbeitgeber/Auftraggeber herauszugeben. Mit der Annahme von Schmiergeld führt der Arbeitnehmer ein fremdes Geschäft als eigenes. Die gegen diesen Herausgabeanspruch gerichteten Einwände, die im Ergebnis allein einen Schadenersatzanspruch des Arbeitgebers/Auftraggebers bei Schmiergeldannahme zulassen wollen, greifen nicht durch. </w:t>
      </w:r>
    </w:p>
    <w:p w:rsidR="00DB3E89" w:rsidRPr="00DB3E89" w:rsidRDefault="00DB3E89" w:rsidP="007811F1">
      <w:pPr>
        <w:spacing w:after="0" w:line="360" w:lineRule="auto"/>
        <w:ind w:left="567"/>
        <w:jc w:val="both"/>
        <w:rPr>
          <w:rFonts w:ascii="Arial" w:eastAsia="Times New Roman" w:hAnsi="Arial" w:cs="Arial"/>
        </w:rPr>
      </w:pPr>
    </w:p>
    <w:p w:rsidR="00DB3E89" w:rsidRPr="00DB3E89" w:rsidRDefault="00DB3E89" w:rsidP="007811F1">
      <w:pPr>
        <w:numPr>
          <w:ilvl w:val="0"/>
          <w:numId w:val="1"/>
        </w:numPr>
        <w:spacing w:after="0" w:line="360" w:lineRule="auto"/>
        <w:jc w:val="both"/>
        <w:rPr>
          <w:rFonts w:ascii="Arial" w:eastAsia="Times New Roman" w:hAnsi="Arial" w:cs="Arial"/>
        </w:rPr>
      </w:pPr>
      <w:r w:rsidRPr="00DB3E89">
        <w:rPr>
          <w:rFonts w:ascii="Arial" w:eastAsia="Times New Roman" w:hAnsi="Arial" w:cs="Arial"/>
        </w:rPr>
        <w:t xml:space="preserve">Von den Personen, welche an einen Arbeitnehmer Schmiergeld entrichten, kann der Arbeitgeber/Auftraggeber Schadenersatz verlangen. Dies setzt voraus, dass deswegen bei ihm ein Schaden eingetreten ist. Regelmäßig wird dies nach den Grundsätzen des Anscheinsbeweises in Höhe des bezahlten Schmiergeldes anzunehmen sein. Dies gilt aber dann nicht, wenn der Schmiergeldbetrag relativ gering ist und maximal 5 % </w:t>
      </w:r>
      <w:proofErr w:type="gramStart"/>
      <w:r w:rsidRPr="00DB3E89">
        <w:rPr>
          <w:rFonts w:ascii="Arial" w:eastAsia="Times New Roman" w:hAnsi="Arial" w:cs="Arial"/>
        </w:rPr>
        <w:t>des</w:t>
      </w:r>
      <w:proofErr w:type="gramEnd"/>
      <w:r w:rsidRPr="00DB3E89">
        <w:rPr>
          <w:rFonts w:ascii="Arial" w:eastAsia="Times New Roman" w:hAnsi="Arial" w:cs="Arial"/>
        </w:rPr>
        <w:t xml:space="preserve"> Gesamtauftragssumme ausmacht; dann ist nicht auszuschließen, dass Schmiergeldzahler diesen Betrag von ihrem Gewinn abgezweigt haben.</w:t>
      </w:r>
    </w:p>
    <w:p w:rsidR="00DB3E89" w:rsidRPr="00DB3E89" w:rsidRDefault="00DB3E89" w:rsidP="007811F1">
      <w:pPr>
        <w:spacing w:after="0" w:line="360" w:lineRule="auto"/>
        <w:rPr>
          <w:rFonts w:ascii="Arial" w:eastAsia="Times New Roman" w:hAnsi="Arial" w:cs="Arial"/>
        </w:rPr>
      </w:pPr>
    </w:p>
    <w:p w:rsidR="00DB3E89" w:rsidRPr="00DB3E89" w:rsidRDefault="00DB3E89" w:rsidP="007811F1">
      <w:pPr>
        <w:spacing w:after="0" w:line="360" w:lineRule="auto"/>
        <w:jc w:val="center"/>
        <w:rPr>
          <w:rFonts w:ascii="Arial" w:eastAsia="Times New Roman" w:hAnsi="Arial" w:cs="Arial"/>
          <w:b/>
          <w:bCs/>
        </w:rPr>
      </w:pPr>
      <w:r w:rsidRPr="00DB3E89">
        <w:rPr>
          <w:rFonts w:ascii="Arial" w:eastAsia="Times New Roman" w:hAnsi="Arial" w:cs="Arial"/>
          <w:b/>
          <w:bCs/>
        </w:rPr>
        <w:t>II.</w:t>
      </w:r>
    </w:p>
    <w:p w:rsidR="00DB3E89" w:rsidRPr="00DB3E89" w:rsidRDefault="007811F1" w:rsidP="007811F1">
      <w:pPr>
        <w:spacing w:after="0" w:line="360" w:lineRule="auto"/>
        <w:jc w:val="center"/>
        <w:rPr>
          <w:rFonts w:ascii="Arial" w:eastAsia="Times New Roman" w:hAnsi="Arial" w:cs="Arial"/>
          <w:b/>
          <w:bCs/>
          <w:u w:val="single"/>
        </w:rPr>
      </w:pPr>
      <w:r>
        <w:rPr>
          <w:rFonts w:ascii="Arial" w:eastAsia="Times New Roman" w:hAnsi="Arial" w:cs="Arial"/>
          <w:b/>
          <w:bCs/>
        </w:rPr>
        <w:t>Personenbedingte Kündigung bei Alkoholerkrankung</w:t>
      </w:r>
    </w:p>
    <w:p w:rsidR="00DB3E89" w:rsidRPr="00DB3E89" w:rsidRDefault="00DB3E89" w:rsidP="007811F1">
      <w:pPr>
        <w:spacing w:after="0" w:line="360" w:lineRule="auto"/>
        <w:jc w:val="center"/>
        <w:rPr>
          <w:rFonts w:ascii="Arial" w:eastAsia="Times New Roman" w:hAnsi="Arial" w:cs="Arial"/>
          <w:bCs/>
        </w:rPr>
      </w:pPr>
      <w:r w:rsidRPr="00DB3E89">
        <w:rPr>
          <w:rFonts w:ascii="Arial" w:eastAsia="Times New Roman" w:hAnsi="Arial" w:cs="Arial"/>
          <w:bCs/>
        </w:rPr>
        <w:t>Landesarbeitsgericht München, Urteil vom 10.05.2012, Az. 3 Sa 1134/11</w:t>
      </w:r>
    </w:p>
    <w:p w:rsidR="00DB3E89" w:rsidRPr="00DB3E89" w:rsidRDefault="00DB3E89" w:rsidP="007811F1">
      <w:pPr>
        <w:spacing w:after="0" w:line="360" w:lineRule="auto"/>
        <w:jc w:val="both"/>
        <w:rPr>
          <w:rFonts w:ascii="Arial" w:eastAsia="Times New Roman" w:hAnsi="Arial" w:cs="Arial"/>
          <w:b/>
          <w:bCs/>
        </w:rPr>
      </w:pPr>
    </w:p>
    <w:p w:rsidR="00DB3E89" w:rsidRPr="00DB3E89" w:rsidRDefault="00DB3E89" w:rsidP="007811F1">
      <w:pPr>
        <w:spacing w:after="0" w:line="360" w:lineRule="auto"/>
        <w:jc w:val="both"/>
        <w:rPr>
          <w:rFonts w:ascii="Arial" w:eastAsia="Times New Roman" w:hAnsi="Arial" w:cs="Arial"/>
        </w:rPr>
      </w:pPr>
      <w:r w:rsidRPr="00DB3E89">
        <w:rPr>
          <w:rFonts w:ascii="Arial" w:eastAsia="Times New Roman" w:hAnsi="Arial" w:cs="Arial"/>
        </w:rPr>
        <w:t>Erhebliche betriebliche Beeinträchtigungen liegen bei einer fristgemäßen personenbedingten Kündigung eines alkoholerkrankten Arbeitnehmers vor, wenn dieser eine Arbeitsaufgabe in einem Arbeitsumfeld verrichtet, die mit Selbst- und Fremdgefährdungen von Personen und Sachen einhergeht.</w:t>
      </w:r>
    </w:p>
    <w:p w:rsidR="00F608BC" w:rsidRPr="00EB3413" w:rsidRDefault="00F608BC" w:rsidP="00EB3413">
      <w:pPr>
        <w:spacing w:after="0" w:line="360" w:lineRule="auto"/>
        <w:rPr>
          <w:rFonts w:ascii="Arial" w:hAnsi="Arial" w:cs="Arial"/>
        </w:rPr>
      </w:pPr>
    </w:p>
    <w:p w:rsidR="000F58B7" w:rsidRPr="00C15388" w:rsidRDefault="002A3F94" w:rsidP="00C15388">
      <w:pPr>
        <w:spacing w:after="0" w:line="360" w:lineRule="auto"/>
        <w:jc w:val="center"/>
        <w:rPr>
          <w:rFonts w:ascii="Arial" w:hAnsi="Arial" w:cs="Arial"/>
          <w:b/>
        </w:rPr>
      </w:pPr>
      <w:r w:rsidRPr="00C15388">
        <w:rPr>
          <w:rFonts w:ascii="Arial" w:hAnsi="Arial" w:cs="Arial"/>
          <w:b/>
        </w:rPr>
        <w:t>III.</w:t>
      </w:r>
    </w:p>
    <w:p w:rsidR="000F58B7" w:rsidRPr="00C15388" w:rsidRDefault="000F58B7" w:rsidP="00C15388">
      <w:pPr>
        <w:spacing w:after="0" w:line="360" w:lineRule="auto"/>
        <w:jc w:val="center"/>
        <w:outlineLvl w:val="2"/>
        <w:rPr>
          <w:rFonts w:ascii="Arial" w:eastAsia="Times New Roman" w:hAnsi="Arial" w:cs="Arial"/>
          <w:b/>
          <w:bCs/>
          <w:lang w:eastAsia="de-DE"/>
        </w:rPr>
      </w:pPr>
      <w:bookmarkStart w:id="3" w:name="3"/>
      <w:r w:rsidRPr="00C15388">
        <w:rPr>
          <w:rFonts w:ascii="Arial" w:eastAsia="Times New Roman" w:hAnsi="Arial" w:cs="Arial"/>
          <w:b/>
          <w:bCs/>
          <w:lang w:eastAsia="de-DE"/>
        </w:rPr>
        <w:t xml:space="preserve">Kündigung einer </w:t>
      </w:r>
      <w:proofErr w:type="spellStart"/>
      <w:r w:rsidRPr="00C15388">
        <w:rPr>
          <w:rFonts w:ascii="Arial" w:eastAsia="Times New Roman" w:hAnsi="Arial" w:cs="Arial"/>
          <w:b/>
          <w:bCs/>
          <w:lang w:eastAsia="de-DE"/>
        </w:rPr>
        <w:t>GbR</w:t>
      </w:r>
      <w:proofErr w:type="spellEnd"/>
      <w:r w:rsidRPr="00C15388">
        <w:rPr>
          <w:rFonts w:ascii="Arial" w:eastAsia="Times New Roman" w:hAnsi="Arial" w:cs="Arial"/>
          <w:b/>
          <w:bCs/>
          <w:lang w:eastAsia="de-DE"/>
        </w:rPr>
        <w:t xml:space="preserve"> aus wichtigem Grund</w:t>
      </w:r>
      <w:bookmarkEnd w:id="3"/>
    </w:p>
    <w:p w:rsidR="000F58B7" w:rsidRPr="00C15388" w:rsidRDefault="00EB3413" w:rsidP="00C15388">
      <w:pPr>
        <w:spacing w:after="0" w:line="360" w:lineRule="auto"/>
        <w:jc w:val="center"/>
        <w:rPr>
          <w:rFonts w:ascii="Arial" w:eastAsia="Times New Roman" w:hAnsi="Arial" w:cs="Arial"/>
          <w:lang w:eastAsia="de-DE"/>
        </w:rPr>
      </w:pPr>
      <w:r w:rsidRPr="00C15388">
        <w:rPr>
          <w:rFonts w:ascii="Arial" w:eastAsia="Times New Roman" w:hAnsi="Arial" w:cs="Arial"/>
          <w:lang w:eastAsia="de-DE"/>
        </w:rPr>
        <w:t>BGH</w:t>
      </w:r>
      <w:r w:rsidR="00C15388">
        <w:rPr>
          <w:rFonts w:ascii="Arial" w:eastAsia="Times New Roman" w:hAnsi="Arial" w:cs="Arial"/>
          <w:lang w:eastAsia="de-DE"/>
        </w:rPr>
        <w:t>,</w:t>
      </w:r>
      <w:r w:rsidR="000F58B7" w:rsidRPr="00C15388">
        <w:rPr>
          <w:rFonts w:ascii="Arial" w:eastAsia="Times New Roman" w:hAnsi="Arial" w:cs="Arial"/>
          <w:lang w:eastAsia="de-DE"/>
        </w:rPr>
        <w:t xml:space="preserve"> Urteil </w:t>
      </w:r>
      <w:r w:rsidR="00C15388">
        <w:rPr>
          <w:rFonts w:ascii="Arial" w:eastAsia="Times New Roman" w:hAnsi="Arial" w:cs="Arial"/>
          <w:lang w:eastAsia="de-DE"/>
        </w:rPr>
        <w:t xml:space="preserve">vom </w:t>
      </w:r>
      <w:r w:rsidR="000F58B7" w:rsidRPr="00C15388">
        <w:rPr>
          <w:rFonts w:ascii="Arial" w:eastAsia="Times New Roman" w:hAnsi="Arial" w:cs="Arial"/>
          <w:lang w:eastAsia="de-DE"/>
        </w:rPr>
        <w:t xml:space="preserve">22.05.2012, </w:t>
      </w:r>
      <w:r w:rsidR="00C15388">
        <w:rPr>
          <w:rFonts w:ascii="Arial" w:eastAsia="Times New Roman" w:hAnsi="Arial" w:cs="Arial"/>
          <w:lang w:eastAsia="de-DE"/>
        </w:rPr>
        <w:t xml:space="preserve">Az. </w:t>
      </w:r>
      <w:r w:rsidR="000F58B7" w:rsidRPr="00C15388">
        <w:rPr>
          <w:rFonts w:ascii="Arial" w:eastAsia="Times New Roman" w:hAnsi="Arial" w:cs="Arial"/>
          <w:lang w:eastAsia="de-DE"/>
        </w:rPr>
        <w:t>II ZR 2/11</w:t>
      </w:r>
    </w:p>
    <w:p w:rsidR="00EB3413" w:rsidRDefault="00EB3413" w:rsidP="00EB3413">
      <w:pPr>
        <w:spacing w:after="0" w:line="360" w:lineRule="auto"/>
        <w:rPr>
          <w:rFonts w:ascii="Arial" w:eastAsia="Times New Roman" w:hAnsi="Arial" w:cs="Arial"/>
          <w:lang w:eastAsia="de-DE"/>
        </w:rPr>
      </w:pPr>
    </w:p>
    <w:p w:rsidR="000F58B7" w:rsidRPr="00C15388" w:rsidRDefault="000F58B7" w:rsidP="00C15388">
      <w:pPr>
        <w:pStyle w:val="Listenabsatz"/>
        <w:numPr>
          <w:ilvl w:val="0"/>
          <w:numId w:val="2"/>
        </w:numPr>
        <w:spacing w:after="0" w:line="360" w:lineRule="auto"/>
        <w:jc w:val="both"/>
        <w:rPr>
          <w:rFonts w:ascii="Arial" w:eastAsia="Times New Roman" w:hAnsi="Arial" w:cs="Arial"/>
          <w:lang w:eastAsia="de-DE"/>
        </w:rPr>
      </w:pPr>
      <w:r w:rsidRPr="00C15388">
        <w:rPr>
          <w:rFonts w:ascii="Arial" w:eastAsia="Times New Roman" w:hAnsi="Arial" w:cs="Arial"/>
          <w:lang w:eastAsia="de-DE"/>
        </w:rPr>
        <w:t xml:space="preserve">Ein Gesellschafter einer Gesellschaft bürgerlichen Rechts ist zur außerordentlichen Kündigung der Gesellschaft berechtigt, wenn ihm eine Fortsetzung der Gesellschaft bis zum Vertragsende oder zum nächsten ordentlichen Kündigungstermin nicht zugemutet werden kann, weil das Vertrauensverhältnis zwischen den Gesellschaftern grundlegend gestört oder ein gedeihliches Zusammenwirken aus sonstigen, namentlich auch wirtschaftlichen Gründen, nicht mehr möglich ist. </w:t>
      </w:r>
    </w:p>
    <w:p w:rsidR="000F58B7" w:rsidRPr="00C15388" w:rsidRDefault="000F58B7" w:rsidP="00C15388">
      <w:pPr>
        <w:pStyle w:val="Listenabsatz"/>
        <w:numPr>
          <w:ilvl w:val="0"/>
          <w:numId w:val="2"/>
        </w:numPr>
        <w:spacing w:after="0" w:line="360" w:lineRule="auto"/>
        <w:jc w:val="both"/>
        <w:rPr>
          <w:rFonts w:ascii="Arial" w:eastAsia="Times New Roman" w:hAnsi="Arial" w:cs="Arial"/>
          <w:lang w:eastAsia="de-DE"/>
        </w:rPr>
      </w:pPr>
      <w:r w:rsidRPr="00C15388">
        <w:rPr>
          <w:rFonts w:ascii="Arial" w:eastAsia="Times New Roman" w:hAnsi="Arial" w:cs="Arial"/>
          <w:lang w:eastAsia="de-DE"/>
        </w:rPr>
        <w:t xml:space="preserve">Ob ein wichtiger Grund für die Kündigung vorgelegen hat, ist auch in der Revisionsinstanz in vollem Umfang darauf nachprüfbar, ob die Anwendung des Begriffs des wichtigen Grundes von einem zutreffenden Verständnis der darin zusammengefassten normativen Wertungen ausgeht, d.h., ob alle zur Beurteilung wichtigen Gesichtspunkte herangezogen worden sind und ob das Gewicht der Gründe für den Maßstab der Unzumutbarkeit des weiteren Festhaltens am Vertrag ausreicht. </w:t>
      </w:r>
    </w:p>
    <w:p w:rsidR="000F58B7" w:rsidRPr="00C15388" w:rsidRDefault="000F58B7" w:rsidP="00C15388">
      <w:pPr>
        <w:pStyle w:val="Listenabsatz"/>
        <w:numPr>
          <w:ilvl w:val="0"/>
          <w:numId w:val="2"/>
        </w:numPr>
        <w:spacing w:after="0" w:line="360" w:lineRule="auto"/>
        <w:jc w:val="both"/>
        <w:rPr>
          <w:rFonts w:ascii="Arial" w:eastAsia="Times New Roman" w:hAnsi="Arial" w:cs="Arial"/>
          <w:lang w:eastAsia="de-DE"/>
        </w:rPr>
      </w:pPr>
      <w:r w:rsidRPr="00C15388">
        <w:rPr>
          <w:rFonts w:ascii="Arial" w:eastAsia="Times New Roman" w:hAnsi="Arial" w:cs="Arial"/>
          <w:lang w:eastAsia="de-DE"/>
        </w:rPr>
        <w:t xml:space="preserve">Sieht der Gesellschaftsvertrag einer Gesellschaft bürgerlichen Rechts vor, dass die Insolvenz eines Gesellschafters zu dessen Ausscheiden und zur Fortsetzung der Gesellschaft unter den verbleibenden Gesellschaftern führt, stellt die Eröffnung des Insolvenzverfahrens über das Vermögen eines Gesellschafters (hier: der geschäftsführenden Gründungsgesellschafterin) für einen anderen Gesellschafter nur bei Darlegung besonderer Umstände einen wichtigen Grund für die (außerordentliche) Kündigung des Gesellschaftsverhältnisses dar. </w:t>
      </w:r>
    </w:p>
    <w:p w:rsidR="000F58B7" w:rsidRPr="00EB3413" w:rsidRDefault="000F58B7" w:rsidP="00EB3413">
      <w:pPr>
        <w:spacing w:after="0" w:line="360" w:lineRule="auto"/>
        <w:rPr>
          <w:rFonts w:ascii="Arial" w:hAnsi="Arial" w:cs="Arial"/>
        </w:rPr>
      </w:pPr>
    </w:p>
    <w:p w:rsidR="005B2D79" w:rsidRPr="00C15388" w:rsidRDefault="002A3F94" w:rsidP="00C15388">
      <w:pPr>
        <w:spacing w:after="0" w:line="360" w:lineRule="auto"/>
        <w:jc w:val="center"/>
        <w:rPr>
          <w:rFonts w:ascii="Arial" w:hAnsi="Arial" w:cs="Arial"/>
          <w:b/>
        </w:rPr>
      </w:pPr>
      <w:r w:rsidRPr="00C15388">
        <w:rPr>
          <w:rFonts w:ascii="Arial" w:hAnsi="Arial" w:cs="Arial"/>
          <w:b/>
        </w:rPr>
        <w:t>IV.</w:t>
      </w:r>
    </w:p>
    <w:p w:rsidR="005B2D79" w:rsidRPr="00C15388" w:rsidRDefault="005B2D79" w:rsidP="00C15388">
      <w:pPr>
        <w:pStyle w:val="berschrift3"/>
        <w:spacing w:before="0" w:beforeAutospacing="0" w:after="0" w:afterAutospacing="0" w:line="360" w:lineRule="auto"/>
        <w:jc w:val="center"/>
        <w:rPr>
          <w:rFonts w:ascii="Arial" w:hAnsi="Arial" w:cs="Arial"/>
          <w:color w:val="auto"/>
          <w:sz w:val="22"/>
          <w:szCs w:val="22"/>
        </w:rPr>
      </w:pPr>
      <w:bookmarkStart w:id="4" w:name="4"/>
      <w:r w:rsidRPr="00C15388">
        <w:rPr>
          <w:rFonts w:ascii="Arial" w:hAnsi="Arial" w:cs="Arial"/>
          <w:color w:val="auto"/>
          <w:sz w:val="22"/>
          <w:szCs w:val="22"/>
        </w:rPr>
        <w:t>Organisationspflicht des Geschäftsführers</w:t>
      </w:r>
      <w:bookmarkEnd w:id="4"/>
    </w:p>
    <w:p w:rsidR="005B2D79" w:rsidRPr="00EB3413" w:rsidRDefault="00C15388" w:rsidP="00C15388">
      <w:pPr>
        <w:pStyle w:val="StandardWeb"/>
        <w:spacing w:before="0" w:beforeAutospacing="0" w:after="0" w:line="360" w:lineRule="auto"/>
        <w:jc w:val="center"/>
        <w:rPr>
          <w:rFonts w:ascii="Arial" w:hAnsi="Arial" w:cs="Arial"/>
          <w:sz w:val="22"/>
          <w:szCs w:val="22"/>
        </w:rPr>
      </w:pPr>
      <w:r>
        <w:rPr>
          <w:rFonts w:ascii="Arial" w:hAnsi="Arial" w:cs="Arial"/>
          <w:sz w:val="22"/>
          <w:szCs w:val="22"/>
        </w:rPr>
        <w:t xml:space="preserve">BGH, </w:t>
      </w:r>
      <w:r w:rsidR="005B2D79" w:rsidRPr="00EB3413">
        <w:rPr>
          <w:rFonts w:ascii="Arial" w:hAnsi="Arial" w:cs="Arial"/>
          <w:sz w:val="22"/>
          <w:szCs w:val="22"/>
        </w:rPr>
        <w:t xml:space="preserve">Urteil </w:t>
      </w:r>
      <w:r>
        <w:rPr>
          <w:rFonts w:ascii="Arial" w:hAnsi="Arial" w:cs="Arial"/>
          <w:sz w:val="22"/>
          <w:szCs w:val="22"/>
        </w:rPr>
        <w:t xml:space="preserve">vom </w:t>
      </w:r>
      <w:r w:rsidR="005B2D79" w:rsidRPr="00EB3413">
        <w:rPr>
          <w:rFonts w:ascii="Arial" w:hAnsi="Arial" w:cs="Arial"/>
          <w:sz w:val="22"/>
          <w:szCs w:val="22"/>
        </w:rPr>
        <w:t xml:space="preserve">19.06.2012, </w:t>
      </w:r>
      <w:r>
        <w:rPr>
          <w:rFonts w:ascii="Arial" w:hAnsi="Arial" w:cs="Arial"/>
          <w:sz w:val="22"/>
          <w:szCs w:val="22"/>
        </w:rPr>
        <w:t xml:space="preserve">Az. </w:t>
      </w:r>
      <w:r w:rsidR="005B2D79" w:rsidRPr="00EB3413">
        <w:rPr>
          <w:rFonts w:ascii="Arial" w:hAnsi="Arial" w:cs="Arial"/>
          <w:sz w:val="22"/>
          <w:szCs w:val="22"/>
        </w:rPr>
        <w:t>II ZR 243/11</w:t>
      </w:r>
    </w:p>
    <w:p w:rsidR="00C15388" w:rsidRDefault="00C15388" w:rsidP="00EB3413">
      <w:pPr>
        <w:pStyle w:val="StandardWeb"/>
        <w:spacing w:before="0" w:beforeAutospacing="0" w:after="0" w:line="360" w:lineRule="auto"/>
        <w:rPr>
          <w:rFonts w:ascii="Arial" w:hAnsi="Arial" w:cs="Arial"/>
          <w:sz w:val="22"/>
          <w:szCs w:val="22"/>
        </w:rPr>
      </w:pPr>
    </w:p>
    <w:p w:rsidR="005B2D79" w:rsidRPr="00EB3413" w:rsidRDefault="005B2D79" w:rsidP="00EB3413">
      <w:pPr>
        <w:pStyle w:val="StandardWeb"/>
        <w:spacing w:before="0" w:beforeAutospacing="0" w:after="0" w:line="360" w:lineRule="auto"/>
        <w:rPr>
          <w:rFonts w:ascii="Arial" w:hAnsi="Arial" w:cs="Arial"/>
          <w:sz w:val="22"/>
          <w:szCs w:val="22"/>
        </w:rPr>
      </w:pPr>
      <w:r w:rsidRPr="00EB3413">
        <w:rPr>
          <w:rFonts w:ascii="Arial" w:hAnsi="Arial" w:cs="Arial"/>
          <w:sz w:val="22"/>
          <w:szCs w:val="22"/>
        </w:rPr>
        <w:t xml:space="preserve">Der Geschäftsführer einer Gesellschaft mit beschränkter Haftung muss für eine Organisation sorgen, die ihm die zur Wahrnehmung seiner Pflichten erforderliche Übersicht über die wirtschaftliche und finanzielle Situation der Gesellschaft jederzeit ermöglicht (Bestätigung von BGH, Urteil vom 20. Februar 1995 - II ZR 9/94, ZIP 1995, 560). </w:t>
      </w:r>
    </w:p>
    <w:p w:rsidR="005B2D79" w:rsidRPr="00EB3413" w:rsidRDefault="005B2D79" w:rsidP="00EB3413">
      <w:pPr>
        <w:spacing w:after="0" w:line="360" w:lineRule="auto"/>
        <w:rPr>
          <w:rFonts w:ascii="Arial" w:hAnsi="Arial" w:cs="Arial"/>
        </w:rPr>
      </w:pPr>
    </w:p>
    <w:p w:rsidR="005B2D79" w:rsidRPr="00EB3413" w:rsidRDefault="005B2D79" w:rsidP="00EB3413">
      <w:pPr>
        <w:spacing w:after="0" w:line="360" w:lineRule="auto"/>
        <w:rPr>
          <w:rFonts w:ascii="Arial" w:hAnsi="Arial" w:cs="Arial"/>
        </w:rPr>
      </w:pPr>
    </w:p>
    <w:p w:rsidR="006948C3" w:rsidRDefault="006948C3">
      <w:pPr>
        <w:rPr>
          <w:rFonts w:ascii="Arial" w:hAnsi="Arial" w:cs="Arial"/>
          <w:b/>
        </w:rPr>
      </w:pPr>
      <w:r>
        <w:rPr>
          <w:rFonts w:ascii="Arial" w:hAnsi="Arial" w:cs="Arial"/>
          <w:b/>
        </w:rPr>
        <w:br w:type="page"/>
      </w:r>
    </w:p>
    <w:p w:rsidR="005B2D79" w:rsidRPr="00C15388" w:rsidRDefault="00C15388" w:rsidP="00C15388">
      <w:pPr>
        <w:spacing w:after="0" w:line="360" w:lineRule="auto"/>
        <w:jc w:val="center"/>
        <w:rPr>
          <w:rFonts w:ascii="Arial" w:hAnsi="Arial" w:cs="Arial"/>
          <w:b/>
        </w:rPr>
      </w:pPr>
      <w:r w:rsidRPr="00C15388">
        <w:rPr>
          <w:rFonts w:ascii="Arial" w:hAnsi="Arial" w:cs="Arial"/>
          <w:b/>
        </w:rPr>
        <w:lastRenderedPageBreak/>
        <w:t>V.</w:t>
      </w:r>
    </w:p>
    <w:p w:rsidR="005B2D79" w:rsidRPr="00C15388" w:rsidRDefault="00C15388" w:rsidP="00C15388">
      <w:pPr>
        <w:pStyle w:val="berschrift3"/>
        <w:spacing w:before="0" w:beforeAutospacing="0" w:after="0" w:afterAutospacing="0" w:line="360" w:lineRule="auto"/>
        <w:jc w:val="center"/>
        <w:rPr>
          <w:rFonts w:ascii="Arial" w:hAnsi="Arial" w:cs="Arial"/>
          <w:color w:val="auto"/>
          <w:sz w:val="22"/>
          <w:szCs w:val="22"/>
        </w:rPr>
      </w:pPr>
      <w:bookmarkStart w:id="5" w:name="7"/>
      <w:r>
        <w:rPr>
          <w:rFonts w:ascii="Arial" w:hAnsi="Arial" w:cs="Arial"/>
          <w:color w:val="auto"/>
          <w:sz w:val="22"/>
          <w:szCs w:val="22"/>
        </w:rPr>
        <w:t>S</w:t>
      </w:r>
      <w:r w:rsidR="005B2D79" w:rsidRPr="00C15388">
        <w:rPr>
          <w:rFonts w:ascii="Arial" w:hAnsi="Arial" w:cs="Arial"/>
          <w:color w:val="auto"/>
          <w:sz w:val="22"/>
          <w:szCs w:val="22"/>
        </w:rPr>
        <w:t>tillschweigendes Aufrechnungsverbot bei Mietkaution</w:t>
      </w:r>
      <w:bookmarkEnd w:id="5"/>
    </w:p>
    <w:p w:rsidR="005B2D79" w:rsidRPr="00EB3413" w:rsidRDefault="00C15388" w:rsidP="00C15388">
      <w:pPr>
        <w:pStyle w:val="StandardWeb"/>
        <w:spacing w:before="0" w:beforeAutospacing="0" w:after="0" w:line="360" w:lineRule="auto"/>
        <w:jc w:val="center"/>
        <w:rPr>
          <w:rFonts w:ascii="Arial" w:hAnsi="Arial" w:cs="Arial"/>
          <w:sz w:val="22"/>
          <w:szCs w:val="22"/>
        </w:rPr>
      </w:pPr>
      <w:r>
        <w:rPr>
          <w:rFonts w:ascii="Arial" w:hAnsi="Arial" w:cs="Arial"/>
          <w:sz w:val="22"/>
          <w:szCs w:val="22"/>
        </w:rPr>
        <w:t xml:space="preserve">BGH, </w:t>
      </w:r>
      <w:r w:rsidR="005B2D79" w:rsidRPr="00EB3413">
        <w:rPr>
          <w:rFonts w:ascii="Arial" w:hAnsi="Arial" w:cs="Arial"/>
          <w:sz w:val="22"/>
          <w:szCs w:val="22"/>
        </w:rPr>
        <w:t>Urteil</w:t>
      </w:r>
      <w:r>
        <w:rPr>
          <w:rFonts w:ascii="Arial" w:hAnsi="Arial" w:cs="Arial"/>
          <w:sz w:val="22"/>
          <w:szCs w:val="22"/>
        </w:rPr>
        <w:t xml:space="preserve"> vom</w:t>
      </w:r>
      <w:r w:rsidR="005B2D79" w:rsidRPr="00EB3413">
        <w:rPr>
          <w:rFonts w:ascii="Arial" w:hAnsi="Arial" w:cs="Arial"/>
          <w:sz w:val="22"/>
          <w:szCs w:val="22"/>
        </w:rPr>
        <w:t xml:space="preserve"> 11.07.2012, </w:t>
      </w:r>
      <w:r>
        <w:rPr>
          <w:rFonts w:ascii="Arial" w:hAnsi="Arial" w:cs="Arial"/>
          <w:sz w:val="22"/>
          <w:szCs w:val="22"/>
        </w:rPr>
        <w:t xml:space="preserve">Az. </w:t>
      </w:r>
      <w:r w:rsidR="005B2D79" w:rsidRPr="00EB3413">
        <w:rPr>
          <w:rFonts w:ascii="Arial" w:hAnsi="Arial" w:cs="Arial"/>
          <w:sz w:val="22"/>
          <w:szCs w:val="22"/>
        </w:rPr>
        <w:t>VIII ZR 36/12</w:t>
      </w:r>
    </w:p>
    <w:p w:rsidR="00C15388" w:rsidRDefault="00C15388" w:rsidP="00EB3413">
      <w:pPr>
        <w:pStyle w:val="StandardWeb"/>
        <w:spacing w:before="0" w:beforeAutospacing="0" w:after="0" w:line="360" w:lineRule="auto"/>
        <w:rPr>
          <w:rFonts w:ascii="Arial" w:hAnsi="Arial" w:cs="Arial"/>
          <w:sz w:val="22"/>
          <w:szCs w:val="22"/>
        </w:rPr>
      </w:pPr>
    </w:p>
    <w:p w:rsidR="005B2D79" w:rsidRPr="00EB3413" w:rsidRDefault="005B2D79" w:rsidP="00C15388">
      <w:pPr>
        <w:pStyle w:val="StandardWeb"/>
        <w:spacing w:before="0" w:beforeAutospacing="0" w:after="0" w:line="360" w:lineRule="auto"/>
        <w:jc w:val="both"/>
        <w:rPr>
          <w:rFonts w:ascii="Arial" w:hAnsi="Arial" w:cs="Arial"/>
          <w:sz w:val="22"/>
          <w:szCs w:val="22"/>
        </w:rPr>
      </w:pPr>
      <w:r w:rsidRPr="00EB3413">
        <w:rPr>
          <w:rFonts w:ascii="Arial" w:hAnsi="Arial" w:cs="Arial"/>
          <w:sz w:val="22"/>
          <w:szCs w:val="22"/>
        </w:rPr>
        <w:t xml:space="preserve">Mangels anderweitiger ausdrücklicher Vereinbarung ist dem Treuhandcharakter der Mietkaution ein stillschweigendes Aufrechnungsverbot im Hinblick auf Forderungen zu entnehmen, die nicht aus dem Mietverhältnis stammen. Mit derartigen Forderungen kann der Vermieter gegenüber dem Anspruch des Mieters auf Kautionsrückzahlung auch dann nicht aufrechnen, wenn die Kaution am Ende des Mietverhältnisses nicht für Forderungen des Vermieters aus dem Mietverhältnis benötigt wird. </w:t>
      </w:r>
    </w:p>
    <w:p w:rsidR="005B2D79" w:rsidRPr="00EB3413" w:rsidRDefault="005B2D79" w:rsidP="00EB3413">
      <w:pPr>
        <w:spacing w:after="0" w:line="360" w:lineRule="auto"/>
        <w:rPr>
          <w:rFonts w:ascii="Arial" w:hAnsi="Arial" w:cs="Arial"/>
        </w:rPr>
      </w:pPr>
    </w:p>
    <w:p w:rsidR="00400281" w:rsidRPr="003E0FE5" w:rsidRDefault="002A3F94" w:rsidP="003E0FE5">
      <w:pPr>
        <w:spacing w:after="0" w:line="360" w:lineRule="auto"/>
        <w:jc w:val="center"/>
        <w:rPr>
          <w:rFonts w:ascii="Arial" w:hAnsi="Arial" w:cs="Arial"/>
          <w:b/>
        </w:rPr>
      </w:pPr>
      <w:r w:rsidRPr="003E0FE5">
        <w:rPr>
          <w:rFonts w:ascii="Arial" w:hAnsi="Arial" w:cs="Arial"/>
          <w:b/>
        </w:rPr>
        <w:t>VI.</w:t>
      </w:r>
    </w:p>
    <w:p w:rsidR="00C15388" w:rsidRPr="003E0FE5" w:rsidRDefault="00C15388" w:rsidP="003E0FE5">
      <w:pPr>
        <w:pStyle w:val="StandardWeb"/>
        <w:spacing w:before="0" w:beforeAutospacing="0" w:after="0" w:line="360" w:lineRule="auto"/>
        <w:jc w:val="center"/>
        <w:rPr>
          <w:rFonts w:ascii="Arial" w:hAnsi="Arial" w:cs="Arial"/>
          <w:b/>
          <w:sz w:val="22"/>
          <w:szCs w:val="22"/>
        </w:rPr>
      </w:pPr>
      <w:r w:rsidRPr="003E0FE5">
        <w:rPr>
          <w:rFonts w:ascii="Arial" w:hAnsi="Arial" w:cs="Arial"/>
          <w:b/>
          <w:sz w:val="22"/>
          <w:szCs w:val="22"/>
        </w:rPr>
        <w:t>Interessenausgleich mit Namensliste in der Insolvenz - Sozialauswahl - Auskunftspflicht</w:t>
      </w:r>
    </w:p>
    <w:p w:rsidR="00C15388" w:rsidRDefault="00C15388" w:rsidP="003E0FE5">
      <w:pPr>
        <w:spacing w:after="0" w:line="360" w:lineRule="auto"/>
        <w:jc w:val="center"/>
        <w:rPr>
          <w:rFonts w:ascii="Arial" w:hAnsi="Arial" w:cs="Arial"/>
        </w:rPr>
      </w:pPr>
      <w:proofErr w:type="spellStart"/>
      <w:r w:rsidRPr="00EB3413">
        <w:rPr>
          <w:rFonts w:ascii="Arial" w:hAnsi="Arial" w:cs="Arial"/>
        </w:rPr>
        <w:t>ArbG</w:t>
      </w:r>
      <w:proofErr w:type="spellEnd"/>
      <w:r w:rsidRPr="00EB3413">
        <w:rPr>
          <w:rFonts w:ascii="Arial" w:hAnsi="Arial" w:cs="Arial"/>
        </w:rPr>
        <w:t xml:space="preserve"> Stuttgart</w:t>
      </w:r>
      <w:r>
        <w:rPr>
          <w:rFonts w:ascii="Arial" w:hAnsi="Arial" w:cs="Arial"/>
        </w:rPr>
        <w:t xml:space="preserve">, Urteil vom 24.07.2012, Az. </w:t>
      </w:r>
      <w:r w:rsidRPr="00EB3413">
        <w:rPr>
          <w:rFonts w:ascii="Arial" w:hAnsi="Arial" w:cs="Arial"/>
        </w:rPr>
        <w:t xml:space="preserve">16 </w:t>
      </w:r>
      <w:proofErr w:type="spellStart"/>
      <w:r w:rsidRPr="00EB3413">
        <w:rPr>
          <w:rFonts w:ascii="Arial" w:hAnsi="Arial" w:cs="Arial"/>
        </w:rPr>
        <w:t>Ca</w:t>
      </w:r>
      <w:proofErr w:type="spellEnd"/>
      <w:r w:rsidRPr="00EB3413">
        <w:rPr>
          <w:rFonts w:ascii="Arial" w:hAnsi="Arial" w:cs="Arial"/>
        </w:rPr>
        <w:t xml:space="preserve"> 2422/12</w:t>
      </w:r>
    </w:p>
    <w:p w:rsidR="00C15388" w:rsidRPr="00EB3413" w:rsidRDefault="00C15388" w:rsidP="00EB3413">
      <w:pPr>
        <w:spacing w:after="0" w:line="360" w:lineRule="auto"/>
        <w:rPr>
          <w:rFonts w:ascii="Arial" w:hAnsi="Arial" w:cs="Arial"/>
        </w:rPr>
      </w:pPr>
    </w:p>
    <w:p w:rsidR="00C15388" w:rsidRDefault="00400281" w:rsidP="003E0FE5">
      <w:pPr>
        <w:pStyle w:val="StandardWeb"/>
        <w:numPr>
          <w:ilvl w:val="0"/>
          <w:numId w:val="4"/>
        </w:numPr>
        <w:spacing w:before="0" w:beforeAutospacing="0" w:after="0" w:line="360" w:lineRule="auto"/>
        <w:jc w:val="both"/>
        <w:rPr>
          <w:rFonts w:ascii="Arial" w:hAnsi="Arial" w:cs="Arial"/>
          <w:sz w:val="22"/>
          <w:szCs w:val="22"/>
        </w:rPr>
      </w:pPr>
      <w:r w:rsidRPr="00EB3413">
        <w:rPr>
          <w:rFonts w:ascii="Arial" w:hAnsi="Arial" w:cs="Arial"/>
          <w:sz w:val="22"/>
          <w:szCs w:val="22"/>
        </w:rPr>
        <w:t xml:space="preserve">Die Auskunftspflicht über die Sozialauswahl gem. </w:t>
      </w:r>
      <w:r w:rsidRPr="006948C3">
        <w:rPr>
          <w:rFonts w:ascii="Arial" w:hAnsi="Arial" w:cs="Arial"/>
          <w:sz w:val="22"/>
          <w:szCs w:val="22"/>
        </w:rPr>
        <w:t>§ 1 Abs. 3 Satz 1 Halbsatz 2 KSchG</w:t>
      </w:r>
      <w:r w:rsidRPr="00EB3413">
        <w:rPr>
          <w:rFonts w:ascii="Arial" w:hAnsi="Arial" w:cs="Arial"/>
          <w:sz w:val="22"/>
          <w:szCs w:val="22"/>
        </w:rPr>
        <w:t xml:space="preserve"> gilt - bei einem entsprechenden Verlangen des Arbeitnehmers - auch in den Fällen eines Interessenausgleichs mit Namensliste in der Insolvenz </w:t>
      </w:r>
      <w:proofErr w:type="spellStart"/>
      <w:r w:rsidRPr="00EB3413">
        <w:rPr>
          <w:rFonts w:ascii="Arial" w:hAnsi="Arial" w:cs="Arial"/>
          <w:sz w:val="22"/>
          <w:szCs w:val="22"/>
        </w:rPr>
        <w:t>iSd</w:t>
      </w:r>
      <w:proofErr w:type="spellEnd"/>
      <w:r w:rsidRPr="00EB3413">
        <w:rPr>
          <w:rFonts w:ascii="Arial" w:hAnsi="Arial" w:cs="Arial"/>
          <w:sz w:val="22"/>
          <w:szCs w:val="22"/>
        </w:rPr>
        <w:t xml:space="preserve">. </w:t>
      </w:r>
      <w:r w:rsidRPr="006948C3">
        <w:rPr>
          <w:rFonts w:ascii="Arial" w:hAnsi="Arial" w:cs="Arial"/>
          <w:sz w:val="22"/>
          <w:szCs w:val="22"/>
        </w:rPr>
        <w:t>§ 125 InsO</w:t>
      </w:r>
      <w:r w:rsidRPr="00EB3413">
        <w:rPr>
          <w:rFonts w:ascii="Arial" w:hAnsi="Arial" w:cs="Arial"/>
          <w:sz w:val="22"/>
          <w:szCs w:val="22"/>
        </w:rPr>
        <w:t xml:space="preserve"> uneingeschränkt.</w:t>
      </w:r>
    </w:p>
    <w:p w:rsidR="00400281" w:rsidRPr="00C15388" w:rsidRDefault="00400281" w:rsidP="003E0FE5">
      <w:pPr>
        <w:pStyle w:val="StandardWeb"/>
        <w:numPr>
          <w:ilvl w:val="0"/>
          <w:numId w:val="4"/>
        </w:numPr>
        <w:spacing w:before="0" w:beforeAutospacing="0" w:after="0" w:line="360" w:lineRule="auto"/>
        <w:jc w:val="both"/>
        <w:rPr>
          <w:rFonts w:ascii="Arial" w:hAnsi="Arial" w:cs="Arial"/>
          <w:sz w:val="22"/>
          <w:szCs w:val="22"/>
        </w:rPr>
      </w:pPr>
      <w:r w:rsidRPr="00C15388">
        <w:rPr>
          <w:rFonts w:ascii="Arial" w:hAnsi="Arial" w:cs="Arial"/>
          <w:sz w:val="22"/>
          <w:szCs w:val="22"/>
        </w:rPr>
        <w:t>Erfüllt der Insolvenzverwalter die Auskunftspflicht nicht bzw. nicht hinreichend ist die Kündigung ohne weiteres als sozialwidrig anzusehen.</w:t>
      </w:r>
    </w:p>
    <w:p w:rsidR="00400281" w:rsidRPr="00EB3413" w:rsidRDefault="00400281" w:rsidP="00EB3413">
      <w:pPr>
        <w:spacing w:after="0" w:line="360" w:lineRule="auto"/>
        <w:rPr>
          <w:rFonts w:ascii="Arial" w:hAnsi="Arial" w:cs="Arial"/>
        </w:rPr>
      </w:pPr>
    </w:p>
    <w:p w:rsidR="009E6029" w:rsidRPr="009E6029" w:rsidRDefault="009E6029" w:rsidP="009E6029">
      <w:pPr>
        <w:spacing w:after="0" w:line="360" w:lineRule="auto"/>
        <w:jc w:val="center"/>
        <w:rPr>
          <w:rFonts w:ascii="Arial" w:hAnsi="Arial" w:cs="Arial"/>
          <w:b/>
        </w:rPr>
      </w:pPr>
      <w:r w:rsidRPr="009E6029">
        <w:rPr>
          <w:rFonts w:ascii="Arial" w:hAnsi="Arial" w:cs="Arial"/>
          <w:b/>
        </w:rPr>
        <w:t>VII.</w:t>
      </w:r>
    </w:p>
    <w:p w:rsidR="00400281" w:rsidRPr="009E6029" w:rsidRDefault="009E6029" w:rsidP="009E6029">
      <w:pPr>
        <w:spacing w:after="0" w:line="360" w:lineRule="auto"/>
        <w:jc w:val="center"/>
        <w:rPr>
          <w:rFonts w:ascii="Arial" w:hAnsi="Arial" w:cs="Arial"/>
          <w:b/>
        </w:rPr>
      </w:pPr>
      <w:r w:rsidRPr="009E6029">
        <w:rPr>
          <w:rFonts w:ascii="Arial" w:hAnsi="Arial" w:cs="Arial"/>
          <w:b/>
        </w:rPr>
        <w:t>Der Geschäftsführer einer Gesellschaft mit beschränkter Haftung</w:t>
      </w:r>
    </w:p>
    <w:p w:rsidR="009E6029" w:rsidRPr="00EB3413" w:rsidRDefault="009E6029" w:rsidP="009E6029">
      <w:pPr>
        <w:spacing w:after="0" w:line="360" w:lineRule="auto"/>
        <w:jc w:val="center"/>
        <w:rPr>
          <w:rFonts w:ascii="Arial" w:hAnsi="Arial" w:cs="Arial"/>
        </w:rPr>
      </w:pPr>
      <w:r>
        <w:rPr>
          <w:rFonts w:ascii="Arial" w:hAnsi="Arial" w:cs="Arial"/>
        </w:rPr>
        <w:t xml:space="preserve">BGH, Versäumnisurteil vom 19.06.2012, Az. </w:t>
      </w:r>
      <w:r w:rsidRPr="00EB3413">
        <w:rPr>
          <w:rFonts w:ascii="Arial" w:hAnsi="Arial" w:cs="Arial"/>
        </w:rPr>
        <w:t>II ZR 243/11</w:t>
      </w:r>
    </w:p>
    <w:p w:rsidR="009E6029" w:rsidRDefault="009E6029" w:rsidP="009E6029">
      <w:pPr>
        <w:pStyle w:val="StandardWeb"/>
        <w:spacing w:before="0" w:beforeAutospacing="0" w:after="0" w:line="360" w:lineRule="auto"/>
        <w:rPr>
          <w:rFonts w:ascii="Arial" w:hAnsi="Arial" w:cs="Arial"/>
          <w:sz w:val="22"/>
          <w:szCs w:val="22"/>
        </w:rPr>
      </w:pPr>
    </w:p>
    <w:p w:rsidR="00400281" w:rsidRPr="00EB3413" w:rsidRDefault="00400281" w:rsidP="009E6029">
      <w:pPr>
        <w:pStyle w:val="StandardWeb"/>
        <w:spacing w:before="0" w:beforeAutospacing="0" w:after="0" w:line="360" w:lineRule="auto"/>
        <w:jc w:val="both"/>
        <w:rPr>
          <w:rFonts w:ascii="Arial" w:hAnsi="Arial" w:cs="Arial"/>
          <w:sz w:val="22"/>
          <w:szCs w:val="22"/>
        </w:rPr>
      </w:pPr>
      <w:r w:rsidRPr="00EB3413">
        <w:rPr>
          <w:rFonts w:ascii="Arial" w:hAnsi="Arial" w:cs="Arial"/>
          <w:sz w:val="22"/>
          <w:szCs w:val="22"/>
        </w:rPr>
        <w:t xml:space="preserve">Der Geschäftsführer einer Gesellschaft mit beschränkter Haftung muss für eine Organisation sorgen, die ihm die zur Wahrnehmung seiner Pflichten erforderliche Übersicht über die wirtschaftliche und finanzielle Situation der Gesellschaft jederzeit ermöglicht (Bestätigung von </w:t>
      </w:r>
      <w:r w:rsidRPr="006948C3">
        <w:rPr>
          <w:rFonts w:ascii="Arial" w:hAnsi="Arial" w:cs="Arial"/>
          <w:sz w:val="22"/>
          <w:szCs w:val="22"/>
        </w:rPr>
        <w:t>BGH, Urteil vom 20. Februar 1995, II ZR 9/94</w:t>
      </w:r>
      <w:r w:rsidRPr="00EB3413">
        <w:rPr>
          <w:rFonts w:ascii="Arial" w:hAnsi="Arial" w:cs="Arial"/>
          <w:sz w:val="22"/>
          <w:szCs w:val="22"/>
        </w:rPr>
        <w:t xml:space="preserve">, </w:t>
      </w:r>
      <w:r w:rsidRPr="006948C3">
        <w:rPr>
          <w:rFonts w:ascii="Arial" w:hAnsi="Arial" w:cs="Arial"/>
          <w:sz w:val="22"/>
          <w:szCs w:val="22"/>
        </w:rPr>
        <w:t>ZIP 1995, 560</w:t>
      </w:r>
      <w:r w:rsidRPr="00EB3413">
        <w:rPr>
          <w:rFonts w:ascii="Arial" w:hAnsi="Arial" w:cs="Arial"/>
          <w:sz w:val="22"/>
          <w:szCs w:val="22"/>
        </w:rPr>
        <w:t>).</w:t>
      </w:r>
    </w:p>
    <w:p w:rsidR="00400281" w:rsidRPr="00EB3413" w:rsidRDefault="00400281" w:rsidP="00EB3413">
      <w:pPr>
        <w:spacing w:after="0" w:line="360" w:lineRule="auto"/>
        <w:rPr>
          <w:rFonts w:ascii="Arial" w:hAnsi="Arial" w:cs="Arial"/>
        </w:rPr>
      </w:pPr>
    </w:p>
    <w:p w:rsidR="002A3F94" w:rsidRPr="009E6029" w:rsidRDefault="006948C3" w:rsidP="009E6029">
      <w:pPr>
        <w:spacing w:after="0" w:line="360" w:lineRule="auto"/>
        <w:jc w:val="center"/>
        <w:rPr>
          <w:rFonts w:ascii="Arial" w:hAnsi="Arial" w:cs="Arial"/>
          <w:b/>
        </w:rPr>
      </w:pPr>
      <w:r>
        <w:rPr>
          <w:rFonts w:ascii="Arial" w:hAnsi="Arial" w:cs="Arial"/>
          <w:b/>
        </w:rPr>
        <w:br w:type="column"/>
      </w:r>
      <w:r w:rsidR="009E6029" w:rsidRPr="009E6029">
        <w:rPr>
          <w:rFonts w:ascii="Arial" w:hAnsi="Arial" w:cs="Arial"/>
          <w:b/>
        </w:rPr>
        <w:lastRenderedPageBreak/>
        <w:t>VIII.</w:t>
      </w:r>
    </w:p>
    <w:p w:rsidR="009E6029" w:rsidRPr="009E6029" w:rsidRDefault="009E6029" w:rsidP="009E6029">
      <w:pPr>
        <w:pStyle w:val="StandardWeb"/>
        <w:spacing w:before="0" w:beforeAutospacing="0" w:after="0" w:line="360" w:lineRule="auto"/>
        <w:ind w:left="720"/>
        <w:rPr>
          <w:rFonts w:ascii="Arial" w:hAnsi="Arial" w:cs="Arial"/>
          <w:b/>
          <w:sz w:val="22"/>
          <w:szCs w:val="22"/>
        </w:rPr>
      </w:pPr>
      <w:r w:rsidRPr="009E6029">
        <w:rPr>
          <w:rFonts w:ascii="Arial" w:hAnsi="Arial" w:cs="Arial"/>
          <w:b/>
          <w:sz w:val="22"/>
          <w:szCs w:val="22"/>
        </w:rPr>
        <w:t xml:space="preserve">Örtliche Zuständigkeit bei Urheberrechtsverletzungen durch </w:t>
      </w:r>
      <w:proofErr w:type="spellStart"/>
      <w:r w:rsidRPr="009E6029">
        <w:rPr>
          <w:rFonts w:ascii="Arial" w:hAnsi="Arial" w:cs="Arial"/>
          <w:b/>
          <w:sz w:val="22"/>
          <w:szCs w:val="22"/>
        </w:rPr>
        <w:t>Filesharing</w:t>
      </w:r>
      <w:proofErr w:type="spellEnd"/>
    </w:p>
    <w:p w:rsidR="009E6029" w:rsidRPr="00EB3413" w:rsidRDefault="009E6029" w:rsidP="009E6029">
      <w:pPr>
        <w:spacing w:after="0" w:line="360" w:lineRule="auto"/>
        <w:jc w:val="center"/>
        <w:rPr>
          <w:rFonts w:ascii="Arial" w:hAnsi="Arial" w:cs="Arial"/>
        </w:rPr>
      </w:pPr>
      <w:r>
        <w:rPr>
          <w:rFonts w:ascii="Arial" w:hAnsi="Arial" w:cs="Arial"/>
        </w:rPr>
        <w:t xml:space="preserve">LG Frankfurt, Urteil vom 18.07.2012, Az. </w:t>
      </w:r>
      <w:r w:rsidRPr="00EB3413">
        <w:rPr>
          <w:rFonts w:ascii="Arial" w:hAnsi="Arial" w:cs="Arial"/>
        </w:rPr>
        <w:t>2-06 S 3/12</w:t>
      </w:r>
    </w:p>
    <w:p w:rsidR="00400281" w:rsidRPr="00EB3413" w:rsidRDefault="00400281" w:rsidP="00EB3413">
      <w:pPr>
        <w:spacing w:after="0" w:line="360" w:lineRule="auto"/>
        <w:rPr>
          <w:rFonts w:ascii="Arial" w:hAnsi="Arial" w:cs="Arial"/>
        </w:rPr>
      </w:pPr>
    </w:p>
    <w:p w:rsidR="00400281" w:rsidRPr="00EB3413" w:rsidRDefault="00400281" w:rsidP="009E6029">
      <w:pPr>
        <w:pStyle w:val="StandardWeb"/>
        <w:spacing w:before="0" w:beforeAutospacing="0" w:after="0" w:line="360" w:lineRule="auto"/>
        <w:jc w:val="both"/>
        <w:rPr>
          <w:rFonts w:ascii="Arial" w:hAnsi="Arial" w:cs="Arial"/>
          <w:sz w:val="22"/>
          <w:szCs w:val="22"/>
        </w:rPr>
      </w:pPr>
      <w:r w:rsidRPr="00EB3413">
        <w:rPr>
          <w:rFonts w:ascii="Arial" w:hAnsi="Arial" w:cs="Arial"/>
          <w:sz w:val="22"/>
          <w:szCs w:val="22"/>
        </w:rPr>
        <w:t xml:space="preserve">Das Einstellen von urheberrechtlich geschützten Werken in ein </w:t>
      </w:r>
      <w:proofErr w:type="spellStart"/>
      <w:r w:rsidRPr="00EB3413">
        <w:rPr>
          <w:rFonts w:ascii="Arial" w:hAnsi="Arial" w:cs="Arial"/>
          <w:sz w:val="22"/>
          <w:szCs w:val="22"/>
        </w:rPr>
        <w:t>Filesharing</w:t>
      </w:r>
      <w:proofErr w:type="spellEnd"/>
      <w:r w:rsidRPr="00EB3413">
        <w:rPr>
          <w:rFonts w:ascii="Arial" w:hAnsi="Arial" w:cs="Arial"/>
          <w:sz w:val="22"/>
          <w:szCs w:val="22"/>
        </w:rPr>
        <w:t>-System begründet einen deliktischen Gerichtsstand an allen Orten, an denen das Werk abrufbar ist. Es gibt keinen Anlass, vom Grundsatz des "fliegenden Gerichtsstandes" insoweit abzuweichen.</w:t>
      </w:r>
    </w:p>
    <w:p w:rsidR="00400281" w:rsidRPr="00EB3413" w:rsidRDefault="00400281" w:rsidP="00EB3413">
      <w:pPr>
        <w:spacing w:after="0" w:line="360" w:lineRule="auto"/>
        <w:rPr>
          <w:rFonts w:ascii="Arial" w:hAnsi="Arial" w:cs="Arial"/>
        </w:rPr>
      </w:pPr>
    </w:p>
    <w:p w:rsidR="00400281" w:rsidRDefault="009E6029" w:rsidP="009E6029">
      <w:pPr>
        <w:spacing w:after="0" w:line="360" w:lineRule="auto"/>
        <w:jc w:val="center"/>
        <w:rPr>
          <w:rFonts w:ascii="Arial" w:hAnsi="Arial" w:cs="Arial"/>
          <w:b/>
        </w:rPr>
      </w:pPr>
      <w:r w:rsidRPr="009E6029">
        <w:rPr>
          <w:rFonts w:ascii="Arial" w:hAnsi="Arial" w:cs="Arial"/>
          <w:b/>
        </w:rPr>
        <w:t>IX.</w:t>
      </w:r>
    </w:p>
    <w:p w:rsidR="009E6029" w:rsidRPr="009E6029" w:rsidRDefault="009E6029" w:rsidP="009E6029">
      <w:pPr>
        <w:spacing w:after="0" w:line="360" w:lineRule="auto"/>
        <w:jc w:val="center"/>
        <w:rPr>
          <w:rFonts w:ascii="Arial" w:hAnsi="Arial" w:cs="Arial"/>
          <w:b/>
        </w:rPr>
      </w:pPr>
      <w:r w:rsidRPr="009E6029">
        <w:rPr>
          <w:rFonts w:ascii="Arial" w:hAnsi="Arial" w:cs="Arial"/>
          <w:b/>
        </w:rPr>
        <w:t>Erstattung von Inkassokosten</w:t>
      </w:r>
    </w:p>
    <w:p w:rsidR="009E6029" w:rsidRPr="00EB3413" w:rsidRDefault="009E6029" w:rsidP="009E6029">
      <w:pPr>
        <w:spacing w:after="0" w:line="360" w:lineRule="auto"/>
        <w:jc w:val="center"/>
        <w:rPr>
          <w:rFonts w:ascii="Arial" w:hAnsi="Arial" w:cs="Arial"/>
        </w:rPr>
      </w:pPr>
      <w:r>
        <w:rPr>
          <w:rFonts w:ascii="Arial" w:hAnsi="Arial" w:cs="Arial"/>
        </w:rPr>
        <w:t xml:space="preserve">AG Dortmund, Urteil vom 08.08.2012, Az. </w:t>
      </w:r>
      <w:r w:rsidRPr="00EB3413">
        <w:rPr>
          <w:rFonts w:ascii="Arial" w:hAnsi="Arial" w:cs="Arial"/>
        </w:rPr>
        <w:t>425 C 6285/12</w:t>
      </w:r>
    </w:p>
    <w:p w:rsidR="009E6029" w:rsidRDefault="009E6029" w:rsidP="009E6029">
      <w:pPr>
        <w:pStyle w:val="StandardWeb"/>
        <w:spacing w:before="0" w:beforeAutospacing="0" w:after="0" w:line="360" w:lineRule="auto"/>
        <w:rPr>
          <w:rFonts w:ascii="Arial" w:hAnsi="Arial" w:cs="Arial"/>
          <w:sz w:val="22"/>
          <w:szCs w:val="22"/>
        </w:rPr>
      </w:pPr>
    </w:p>
    <w:p w:rsidR="00400281" w:rsidRPr="00EB3413" w:rsidRDefault="00400281" w:rsidP="009E6029">
      <w:pPr>
        <w:pStyle w:val="StandardWeb"/>
        <w:spacing w:before="0" w:beforeAutospacing="0" w:after="0" w:line="360" w:lineRule="auto"/>
        <w:jc w:val="both"/>
        <w:rPr>
          <w:rFonts w:ascii="Arial" w:hAnsi="Arial" w:cs="Arial"/>
          <w:sz w:val="22"/>
          <w:szCs w:val="22"/>
        </w:rPr>
      </w:pPr>
      <w:r w:rsidRPr="00EB3413">
        <w:rPr>
          <w:rFonts w:ascii="Arial" w:hAnsi="Arial" w:cs="Arial"/>
          <w:sz w:val="22"/>
          <w:szCs w:val="22"/>
        </w:rPr>
        <w:t>Ein gewerblicher Großvermieter hat keinen Anspruch auf Erstattung von Inkassokosten, die bei einem zum Konzern des Vermieters gehörenden Inkassoinstitut angefallen sind.</w:t>
      </w:r>
    </w:p>
    <w:p w:rsidR="00400281" w:rsidRPr="00EB3413" w:rsidRDefault="00400281" w:rsidP="00EB3413">
      <w:pPr>
        <w:spacing w:after="0" w:line="360" w:lineRule="auto"/>
        <w:rPr>
          <w:rFonts w:ascii="Arial" w:hAnsi="Arial" w:cs="Arial"/>
        </w:rPr>
      </w:pPr>
    </w:p>
    <w:p w:rsidR="00400281" w:rsidRDefault="009E6029" w:rsidP="006948C3">
      <w:pPr>
        <w:spacing w:after="0" w:line="360" w:lineRule="auto"/>
        <w:jc w:val="center"/>
        <w:rPr>
          <w:rFonts w:ascii="Arial" w:hAnsi="Arial" w:cs="Arial"/>
          <w:b/>
        </w:rPr>
      </w:pPr>
      <w:r w:rsidRPr="006948C3">
        <w:rPr>
          <w:rFonts w:ascii="Arial" w:hAnsi="Arial" w:cs="Arial"/>
          <w:b/>
        </w:rPr>
        <w:t>X.</w:t>
      </w:r>
    </w:p>
    <w:p w:rsidR="006948C3" w:rsidRPr="006948C3" w:rsidRDefault="006948C3" w:rsidP="006948C3">
      <w:pPr>
        <w:spacing w:after="0" w:line="360" w:lineRule="auto"/>
        <w:jc w:val="center"/>
        <w:rPr>
          <w:rFonts w:ascii="Arial" w:hAnsi="Arial" w:cs="Arial"/>
          <w:b/>
        </w:rPr>
      </w:pPr>
      <w:r>
        <w:rPr>
          <w:rFonts w:ascii="Arial" w:hAnsi="Arial" w:cs="Arial"/>
          <w:b/>
        </w:rPr>
        <w:t>Mieter kommt mit der Zahlung in Verzug wegen einseitiger erhöhten Betriebskostenvorauszahlungen</w:t>
      </w:r>
    </w:p>
    <w:p w:rsidR="00400281" w:rsidRPr="00EB3413" w:rsidRDefault="009E6029" w:rsidP="006948C3">
      <w:pPr>
        <w:spacing w:after="0" w:line="360" w:lineRule="auto"/>
        <w:jc w:val="center"/>
        <w:rPr>
          <w:rFonts w:ascii="Arial" w:hAnsi="Arial" w:cs="Arial"/>
        </w:rPr>
      </w:pPr>
      <w:r>
        <w:rPr>
          <w:rFonts w:ascii="Arial" w:hAnsi="Arial" w:cs="Arial"/>
        </w:rPr>
        <w:t xml:space="preserve">BGB, Urteil vom 18.07.2012, Az. </w:t>
      </w:r>
      <w:r w:rsidRPr="00EB3413">
        <w:rPr>
          <w:rFonts w:ascii="Arial" w:hAnsi="Arial" w:cs="Arial"/>
        </w:rPr>
        <w:t>VIII ZR 1/11</w:t>
      </w:r>
    </w:p>
    <w:p w:rsidR="009E6029" w:rsidRDefault="009E6029" w:rsidP="009E6029">
      <w:pPr>
        <w:pStyle w:val="StandardWeb"/>
        <w:spacing w:before="0" w:beforeAutospacing="0" w:after="0" w:line="360" w:lineRule="auto"/>
        <w:rPr>
          <w:rFonts w:ascii="Arial" w:hAnsi="Arial" w:cs="Arial"/>
          <w:sz w:val="22"/>
          <w:szCs w:val="22"/>
        </w:rPr>
      </w:pPr>
    </w:p>
    <w:p w:rsidR="00400281" w:rsidRPr="00EB3413" w:rsidRDefault="00400281" w:rsidP="009E6029">
      <w:pPr>
        <w:pStyle w:val="StandardWeb"/>
        <w:spacing w:before="0" w:beforeAutospacing="0" w:after="0" w:line="360" w:lineRule="auto"/>
        <w:jc w:val="both"/>
        <w:rPr>
          <w:rFonts w:ascii="Arial" w:hAnsi="Arial" w:cs="Arial"/>
          <w:sz w:val="22"/>
          <w:szCs w:val="22"/>
        </w:rPr>
      </w:pPr>
      <w:r w:rsidRPr="00EB3413">
        <w:rPr>
          <w:rFonts w:ascii="Arial" w:hAnsi="Arial" w:cs="Arial"/>
          <w:sz w:val="22"/>
          <w:szCs w:val="22"/>
        </w:rPr>
        <w:t xml:space="preserve">Kommt der Mieter mit der Zahlung von durch den Vermieter nach </w:t>
      </w:r>
      <w:r w:rsidRPr="006948C3">
        <w:rPr>
          <w:rFonts w:ascii="Arial" w:hAnsi="Arial" w:cs="Arial"/>
          <w:sz w:val="22"/>
          <w:szCs w:val="22"/>
        </w:rPr>
        <w:t>§ 560 Abs. 4 BGB</w:t>
      </w:r>
      <w:r w:rsidRPr="00EB3413">
        <w:rPr>
          <w:rFonts w:ascii="Arial" w:hAnsi="Arial" w:cs="Arial"/>
          <w:sz w:val="22"/>
          <w:szCs w:val="22"/>
        </w:rPr>
        <w:t xml:space="preserve"> einseitig erhöhten Betriebskostenvorauszahlungen in Verzug, scheitert eine (auch) darauf gestützte fristlose Kündigung des Vermieters nicht daran, dass der Vermieter den Mieter nicht vor Ausspruch der Kündigung auf Zahlung der erhöhten Betriebskosten verklagt hat.</w:t>
      </w:r>
    </w:p>
    <w:p w:rsidR="00400281" w:rsidRDefault="00400281" w:rsidP="00EB3413">
      <w:pPr>
        <w:spacing w:after="0" w:line="360" w:lineRule="auto"/>
        <w:rPr>
          <w:rFonts w:ascii="Arial" w:hAnsi="Arial" w:cs="Arial"/>
        </w:rPr>
      </w:pPr>
    </w:p>
    <w:p w:rsidR="006948C3" w:rsidRDefault="006948C3" w:rsidP="006948C3">
      <w:pPr>
        <w:spacing w:after="0" w:line="240" w:lineRule="auto"/>
        <w:jc w:val="both"/>
        <w:rPr>
          <w:rFonts w:ascii="Arial" w:eastAsia="Times New Roman" w:hAnsi="Arial" w:cs="Arial"/>
          <w:sz w:val="20"/>
          <w:szCs w:val="20"/>
          <w:lang w:eastAsia="de-DE"/>
        </w:rPr>
      </w:pPr>
    </w:p>
    <w:p w:rsidR="006948C3" w:rsidRDefault="006948C3" w:rsidP="006948C3">
      <w:pPr>
        <w:spacing w:after="0" w:line="240" w:lineRule="auto"/>
        <w:jc w:val="both"/>
        <w:rPr>
          <w:rFonts w:ascii="Arial" w:eastAsia="Times New Roman" w:hAnsi="Arial" w:cs="Arial"/>
          <w:sz w:val="20"/>
          <w:szCs w:val="20"/>
          <w:lang w:eastAsia="de-DE"/>
        </w:rPr>
      </w:pPr>
    </w:p>
    <w:p w:rsidR="006948C3" w:rsidRPr="006948C3" w:rsidRDefault="006948C3" w:rsidP="006948C3">
      <w:pPr>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br w:type="column"/>
      </w:r>
      <w:bookmarkStart w:id="6" w:name="_GoBack"/>
      <w:bookmarkEnd w:id="6"/>
      <w:r w:rsidRPr="006948C3">
        <w:rPr>
          <w:rFonts w:ascii="Arial" w:eastAsia="Times New Roman" w:hAnsi="Arial" w:cs="Arial"/>
          <w:sz w:val="20"/>
          <w:szCs w:val="20"/>
          <w:lang w:eastAsia="de-DE"/>
        </w:rPr>
        <w:lastRenderedPageBreak/>
        <w:t>Die Urteile wurden von Rechtsanwalt Michael Henn zusammengestellt.</w:t>
      </w:r>
    </w:p>
    <w:p w:rsidR="006948C3" w:rsidRPr="006948C3" w:rsidRDefault="006948C3" w:rsidP="006948C3">
      <w:pPr>
        <w:spacing w:after="0" w:line="240" w:lineRule="auto"/>
        <w:jc w:val="both"/>
        <w:rPr>
          <w:rFonts w:ascii="Arial" w:eastAsia="Times New Roman" w:hAnsi="Arial" w:cs="Arial"/>
          <w:sz w:val="20"/>
          <w:szCs w:val="20"/>
          <w:lang w:eastAsia="de-DE"/>
        </w:rPr>
      </w:pPr>
    </w:p>
    <w:p w:rsidR="006948C3" w:rsidRPr="006948C3" w:rsidRDefault="006948C3" w:rsidP="006948C3">
      <w:pPr>
        <w:spacing w:after="0" w:line="240" w:lineRule="auto"/>
        <w:jc w:val="both"/>
        <w:rPr>
          <w:rFonts w:ascii="Arial" w:eastAsia="Times New Roman" w:hAnsi="Arial" w:cs="Arial"/>
          <w:sz w:val="20"/>
          <w:szCs w:val="20"/>
          <w:lang w:eastAsia="de-DE"/>
        </w:rPr>
      </w:pPr>
    </w:p>
    <w:p w:rsidR="006948C3" w:rsidRPr="006948C3" w:rsidRDefault="006948C3" w:rsidP="006948C3">
      <w:pPr>
        <w:spacing w:after="0" w:line="240" w:lineRule="auto"/>
        <w:jc w:val="both"/>
        <w:rPr>
          <w:rFonts w:ascii="Arial" w:eastAsia="Times New Roman" w:hAnsi="Arial" w:cs="Arial"/>
          <w:sz w:val="20"/>
          <w:szCs w:val="20"/>
          <w:lang w:eastAsia="de-DE"/>
        </w:rPr>
      </w:pPr>
      <w:r w:rsidRPr="006948C3">
        <w:rPr>
          <w:rFonts w:ascii="Arial" w:eastAsia="Times New Roman" w:hAnsi="Arial" w:cs="Arial"/>
          <w:sz w:val="20"/>
          <w:szCs w:val="20"/>
          <w:lang w:eastAsia="de-DE"/>
        </w:rPr>
        <w:t>Michael Henn ist Schriftleiter der mittelstandsdepesche und Vizepräsident der Deutschen Anwalts- und Steuerberatervereinigung für die mittelständische Wirtschaft e. V.</w:t>
      </w:r>
    </w:p>
    <w:p w:rsidR="006948C3" w:rsidRPr="006948C3" w:rsidRDefault="006948C3" w:rsidP="006948C3">
      <w:pPr>
        <w:spacing w:after="0" w:line="240" w:lineRule="auto"/>
        <w:rPr>
          <w:rFonts w:ascii="Arial" w:eastAsia="Times New Roman" w:hAnsi="Arial" w:cs="Arial"/>
          <w:sz w:val="20"/>
          <w:szCs w:val="20"/>
          <w:lang w:eastAsia="de-DE"/>
        </w:rPr>
      </w:pPr>
    </w:p>
    <w:p w:rsidR="006948C3" w:rsidRPr="006948C3" w:rsidRDefault="006948C3" w:rsidP="006948C3">
      <w:pPr>
        <w:spacing w:after="0" w:line="240" w:lineRule="auto"/>
        <w:rPr>
          <w:rFonts w:ascii="Arial" w:eastAsia="Times New Roman" w:hAnsi="Arial" w:cs="Arial"/>
          <w:sz w:val="20"/>
          <w:szCs w:val="20"/>
          <w:lang w:eastAsia="de-DE"/>
        </w:rPr>
      </w:pPr>
    </w:p>
    <w:p w:rsidR="006948C3" w:rsidRPr="006948C3" w:rsidRDefault="006948C3" w:rsidP="006948C3">
      <w:pPr>
        <w:spacing w:after="0" w:line="240" w:lineRule="auto"/>
        <w:rPr>
          <w:rFonts w:ascii="Arial" w:eastAsia="Times New Roman" w:hAnsi="Arial" w:cs="Arial"/>
          <w:sz w:val="20"/>
          <w:szCs w:val="20"/>
          <w:lang w:eastAsia="de-DE"/>
        </w:rPr>
      </w:pPr>
      <w:r w:rsidRPr="006948C3">
        <w:rPr>
          <w:rFonts w:ascii="Arial" w:eastAsia="Times New Roman" w:hAnsi="Arial" w:cs="Arial"/>
          <w:sz w:val="20"/>
          <w:szCs w:val="20"/>
          <w:lang w:eastAsia="de-DE"/>
        </w:rPr>
        <w:t>Für Rückfragen stehe ich Ihnen gerne zur Verfügung.</w:t>
      </w:r>
    </w:p>
    <w:p w:rsidR="006948C3" w:rsidRPr="006948C3" w:rsidRDefault="006948C3" w:rsidP="006948C3">
      <w:pPr>
        <w:spacing w:after="0" w:line="240" w:lineRule="auto"/>
        <w:rPr>
          <w:rFonts w:ascii="Arial" w:eastAsia="Times New Roman" w:hAnsi="Arial" w:cs="Arial"/>
          <w:sz w:val="20"/>
          <w:szCs w:val="20"/>
          <w:lang w:eastAsia="de-DE"/>
        </w:rPr>
      </w:pPr>
    </w:p>
    <w:p w:rsidR="006948C3" w:rsidRPr="006948C3" w:rsidRDefault="006948C3" w:rsidP="006948C3">
      <w:pPr>
        <w:spacing w:after="0" w:line="240" w:lineRule="auto"/>
        <w:rPr>
          <w:rFonts w:ascii="Arial" w:eastAsia="Times New Roman" w:hAnsi="Arial" w:cs="Arial"/>
          <w:sz w:val="20"/>
          <w:szCs w:val="20"/>
          <w:lang w:eastAsia="de-DE"/>
        </w:rPr>
      </w:pPr>
      <w:r w:rsidRPr="006948C3">
        <w:rPr>
          <w:rFonts w:ascii="Arial" w:eastAsia="Times New Roman" w:hAnsi="Arial" w:cs="Arial"/>
          <w:sz w:val="20"/>
          <w:szCs w:val="20"/>
          <w:lang w:eastAsia="de-DE"/>
        </w:rPr>
        <w:t>Michael Henn</w:t>
      </w:r>
    </w:p>
    <w:p w:rsidR="006948C3" w:rsidRPr="006948C3" w:rsidRDefault="006948C3" w:rsidP="006948C3">
      <w:pPr>
        <w:spacing w:after="0" w:line="240" w:lineRule="auto"/>
        <w:rPr>
          <w:rFonts w:ascii="Arial" w:eastAsia="Times New Roman" w:hAnsi="Arial" w:cs="Arial"/>
          <w:sz w:val="20"/>
          <w:szCs w:val="20"/>
          <w:lang w:eastAsia="de-DE"/>
        </w:rPr>
      </w:pPr>
      <w:r w:rsidRPr="006948C3">
        <w:rPr>
          <w:rFonts w:ascii="Arial" w:eastAsia="Times New Roman" w:hAnsi="Arial" w:cs="Arial"/>
          <w:sz w:val="20"/>
          <w:szCs w:val="20"/>
          <w:lang w:eastAsia="de-DE"/>
        </w:rPr>
        <w:t>Rechtsanwalt</w:t>
      </w:r>
    </w:p>
    <w:p w:rsidR="006948C3" w:rsidRPr="006948C3" w:rsidRDefault="006948C3" w:rsidP="006948C3">
      <w:pPr>
        <w:spacing w:after="0" w:line="240" w:lineRule="auto"/>
        <w:rPr>
          <w:rFonts w:ascii="Arial" w:eastAsia="Times New Roman" w:hAnsi="Arial" w:cs="Arial"/>
          <w:sz w:val="20"/>
          <w:szCs w:val="20"/>
          <w:lang w:eastAsia="de-DE"/>
        </w:rPr>
      </w:pPr>
      <w:r w:rsidRPr="006948C3">
        <w:rPr>
          <w:rFonts w:ascii="Arial" w:eastAsia="Times New Roman" w:hAnsi="Arial" w:cs="Arial"/>
          <w:sz w:val="20"/>
          <w:szCs w:val="20"/>
          <w:lang w:eastAsia="de-DE"/>
        </w:rPr>
        <w:t>Fachanwalt für Erbrecht</w:t>
      </w:r>
    </w:p>
    <w:p w:rsidR="006948C3" w:rsidRPr="006948C3" w:rsidRDefault="006948C3" w:rsidP="006948C3">
      <w:pPr>
        <w:spacing w:after="0" w:line="240" w:lineRule="auto"/>
        <w:rPr>
          <w:rFonts w:ascii="Arial" w:eastAsia="Times New Roman" w:hAnsi="Arial" w:cs="Arial"/>
          <w:sz w:val="20"/>
          <w:szCs w:val="20"/>
          <w:lang w:eastAsia="de-DE"/>
        </w:rPr>
      </w:pPr>
      <w:r w:rsidRPr="006948C3">
        <w:rPr>
          <w:rFonts w:ascii="Arial" w:eastAsia="Times New Roman" w:hAnsi="Arial" w:cs="Arial"/>
          <w:sz w:val="20"/>
          <w:szCs w:val="20"/>
          <w:lang w:eastAsia="de-DE"/>
        </w:rPr>
        <w:t xml:space="preserve">Fachanwalt für Arbeitsrecht </w:t>
      </w:r>
    </w:p>
    <w:p w:rsidR="006948C3" w:rsidRPr="006948C3" w:rsidRDefault="006948C3" w:rsidP="006948C3">
      <w:pPr>
        <w:spacing w:after="0" w:line="240" w:lineRule="auto"/>
        <w:rPr>
          <w:rFonts w:ascii="Arial" w:eastAsia="Times New Roman" w:hAnsi="Arial" w:cs="Arial"/>
          <w:sz w:val="20"/>
          <w:szCs w:val="20"/>
          <w:lang w:eastAsia="de-DE"/>
        </w:rPr>
      </w:pPr>
      <w:r w:rsidRPr="006948C3">
        <w:rPr>
          <w:rFonts w:ascii="Arial" w:eastAsia="Times New Roman" w:hAnsi="Arial" w:cs="Arial"/>
          <w:sz w:val="20"/>
          <w:szCs w:val="20"/>
          <w:lang w:eastAsia="de-DE"/>
        </w:rPr>
        <w:t>Schriftleiter mittelstandsdepesche</w:t>
      </w:r>
    </w:p>
    <w:p w:rsidR="006948C3" w:rsidRPr="006948C3" w:rsidRDefault="006948C3" w:rsidP="006948C3">
      <w:pPr>
        <w:spacing w:after="0" w:line="240" w:lineRule="auto"/>
        <w:rPr>
          <w:rFonts w:ascii="Arial" w:eastAsia="Times New Roman" w:hAnsi="Arial" w:cs="Arial"/>
          <w:sz w:val="20"/>
          <w:szCs w:val="20"/>
          <w:lang w:eastAsia="de-DE"/>
        </w:rPr>
      </w:pPr>
      <w:r w:rsidRPr="006948C3">
        <w:rPr>
          <w:rFonts w:ascii="Arial" w:eastAsia="Times New Roman" w:hAnsi="Arial" w:cs="Arial"/>
          <w:sz w:val="20"/>
          <w:szCs w:val="20"/>
          <w:lang w:eastAsia="de-DE"/>
        </w:rPr>
        <w:t>Rechtsanwälte Dr. Gaupp &amp; Coll.</w:t>
      </w:r>
    </w:p>
    <w:p w:rsidR="006948C3" w:rsidRPr="006948C3" w:rsidRDefault="006948C3" w:rsidP="006948C3">
      <w:pPr>
        <w:spacing w:after="0" w:line="240" w:lineRule="auto"/>
        <w:rPr>
          <w:rFonts w:ascii="Arial" w:eastAsia="Times New Roman" w:hAnsi="Arial" w:cs="Arial"/>
          <w:sz w:val="20"/>
          <w:szCs w:val="20"/>
          <w:lang w:eastAsia="de-DE"/>
        </w:rPr>
      </w:pPr>
      <w:r w:rsidRPr="006948C3">
        <w:rPr>
          <w:rFonts w:ascii="Arial" w:eastAsia="Times New Roman" w:hAnsi="Arial" w:cs="Arial"/>
          <w:sz w:val="20"/>
          <w:szCs w:val="20"/>
          <w:lang w:eastAsia="de-DE"/>
        </w:rPr>
        <w:t>Theodor-Heuss-Straße 11</w:t>
      </w:r>
    </w:p>
    <w:p w:rsidR="006948C3" w:rsidRPr="006948C3" w:rsidRDefault="006948C3" w:rsidP="006948C3">
      <w:pPr>
        <w:spacing w:after="0" w:line="240" w:lineRule="auto"/>
        <w:rPr>
          <w:rFonts w:ascii="Arial" w:eastAsia="Times New Roman" w:hAnsi="Arial" w:cs="Arial"/>
          <w:sz w:val="20"/>
          <w:szCs w:val="20"/>
          <w:lang w:eastAsia="de-DE"/>
        </w:rPr>
      </w:pPr>
      <w:r w:rsidRPr="006948C3">
        <w:rPr>
          <w:rFonts w:ascii="Arial" w:eastAsia="Times New Roman" w:hAnsi="Arial" w:cs="Arial"/>
          <w:sz w:val="20"/>
          <w:szCs w:val="20"/>
          <w:lang w:eastAsia="de-DE"/>
        </w:rPr>
        <w:t>70174 Stuttgart</w:t>
      </w:r>
    </w:p>
    <w:p w:rsidR="006948C3" w:rsidRPr="006948C3" w:rsidRDefault="006948C3" w:rsidP="006948C3">
      <w:pPr>
        <w:spacing w:after="0" w:line="240" w:lineRule="auto"/>
        <w:rPr>
          <w:rFonts w:ascii="Arial" w:eastAsia="Times New Roman" w:hAnsi="Arial" w:cs="Arial"/>
          <w:sz w:val="20"/>
          <w:szCs w:val="20"/>
          <w:lang w:eastAsia="de-DE"/>
        </w:rPr>
      </w:pPr>
    </w:p>
    <w:p w:rsidR="006948C3" w:rsidRPr="006948C3" w:rsidRDefault="006948C3" w:rsidP="006948C3">
      <w:pPr>
        <w:spacing w:after="0" w:line="240" w:lineRule="auto"/>
        <w:rPr>
          <w:rFonts w:ascii="Arial" w:eastAsia="Times New Roman" w:hAnsi="Arial" w:cs="Arial"/>
          <w:sz w:val="20"/>
          <w:szCs w:val="20"/>
          <w:lang w:eastAsia="de-DE"/>
        </w:rPr>
      </w:pPr>
      <w:r w:rsidRPr="006948C3">
        <w:rPr>
          <w:rFonts w:ascii="Arial" w:eastAsia="Times New Roman" w:hAnsi="Arial" w:cs="Arial"/>
          <w:sz w:val="20"/>
          <w:szCs w:val="20"/>
          <w:lang w:eastAsia="de-DE"/>
        </w:rPr>
        <w:t>Tel.: 0711/ 30 58 93-0</w:t>
      </w:r>
      <w:r w:rsidRPr="006948C3">
        <w:rPr>
          <w:rFonts w:ascii="Arial" w:eastAsia="Times New Roman" w:hAnsi="Arial" w:cs="Arial"/>
          <w:sz w:val="20"/>
          <w:szCs w:val="20"/>
          <w:lang w:eastAsia="de-DE"/>
        </w:rPr>
        <w:tab/>
      </w:r>
      <w:r w:rsidRPr="006948C3">
        <w:rPr>
          <w:rFonts w:ascii="Arial" w:eastAsia="Times New Roman" w:hAnsi="Arial" w:cs="Arial"/>
          <w:sz w:val="20"/>
          <w:szCs w:val="20"/>
          <w:lang w:eastAsia="de-DE"/>
        </w:rPr>
        <w:tab/>
        <w:t>Fax: 0711/ 30 58 93-11</w:t>
      </w:r>
    </w:p>
    <w:p w:rsidR="006948C3" w:rsidRPr="006948C3" w:rsidRDefault="006948C3" w:rsidP="006948C3">
      <w:pPr>
        <w:spacing w:after="0" w:line="240" w:lineRule="auto"/>
        <w:rPr>
          <w:rFonts w:ascii="Arial" w:eastAsia="Times New Roman" w:hAnsi="Arial" w:cs="Arial"/>
          <w:sz w:val="20"/>
          <w:szCs w:val="20"/>
          <w:lang w:val="it-IT" w:eastAsia="de-DE"/>
        </w:rPr>
      </w:pPr>
      <w:r w:rsidRPr="006948C3">
        <w:rPr>
          <w:rFonts w:ascii="Arial" w:eastAsia="Times New Roman" w:hAnsi="Arial" w:cs="Arial"/>
          <w:sz w:val="20"/>
          <w:szCs w:val="20"/>
          <w:lang w:val="it-IT" w:eastAsia="de-DE"/>
        </w:rPr>
        <w:t xml:space="preserve">e-Mail: </w:t>
      </w:r>
      <w:hyperlink r:id="rId8" w:history="1">
        <w:r w:rsidRPr="006948C3">
          <w:rPr>
            <w:rFonts w:ascii="Arial" w:eastAsia="Times New Roman" w:hAnsi="Arial" w:cs="Arial"/>
            <w:color w:val="0000FF"/>
            <w:sz w:val="20"/>
            <w:szCs w:val="20"/>
            <w:u w:val="single"/>
            <w:lang w:val="it-IT" w:eastAsia="de-DE"/>
          </w:rPr>
          <w:t>henn@drgaupp.de</w:t>
        </w:r>
      </w:hyperlink>
      <w:r w:rsidRPr="006948C3">
        <w:rPr>
          <w:rFonts w:ascii="Arial" w:eastAsia="Times New Roman" w:hAnsi="Arial" w:cs="Arial"/>
          <w:sz w:val="20"/>
          <w:szCs w:val="20"/>
          <w:lang w:val="it-IT" w:eastAsia="de-DE"/>
        </w:rPr>
        <w:tab/>
      </w:r>
      <w:hyperlink r:id="rId9" w:history="1">
        <w:r w:rsidRPr="006948C3">
          <w:rPr>
            <w:rFonts w:ascii="Arial" w:eastAsia="Times New Roman" w:hAnsi="Arial" w:cs="Arial"/>
            <w:color w:val="0000FF"/>
            <w:sz w:val="20"/>
            <w:szCs w:val="20"/>
            <w:u w:val="single"/>
            <w:lang w:val="it-IT" w:eastAsia="de-DE"/>
          </w:rPr>
          <w:t>www.drgaupp.de</w:t>
        </w:r>
      </w:hyperlink>
    </w:p>
    <w:sectPr w:rsidR="006948C3" w:rsidRPr="006948C3">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029" w:rsidRDefault="009E6029" w:rsidP="00EB3413">
      <w:pPr>
        <w:spacing w:after="0" w:line="240" w:lineRule="auto"/>
      </w:pPr>
      <w:r>
        <w:separator/>
      </w:r>
    </w:p>
  </w:endnote>
  <w:endnote w:type="continuationSeparator" w:id="0">
    <w:p w:rsidR="009E6029" w:rsidRDefault="009E6029" w:rsidP="00EB3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libri">
    <w:altName w:val="Univers 57 Condensed"/>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029" w:rsidRDefault="009E6029" w:rsidP="00EB3413">
      <w:pPr>
        <w:spacing w:after="0" w:line="240" w:lineRule="auto"/>
      </w:pPr>
      <w:r>
        <w:separator/>
      </w:r>
    </w:p>
  </w:footnote>
  <w:footnote w:type="continuationSeparator" w:id="0">
    <w:p w:rsidR="009E6029" w:rsidRDefault="009E6029" w:rsidP="00EB3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029" w:rsidRPr="00EB3413" w:rsidRDefault="009E6029" w:rsidP="00EB3413">
    <w:pPr>
      <w:tabs>
        <w:tab w:val="left" w:pos="2400"/>
        <w:tab w:val="center" w:pos="4536"/>
        <w:tab w:val="right" w:pos="9072"/>
      </w:tabs>
      <w:spacing w:after="0" w:line="240" w:lineRule="auto"/>
      <w:jc w:val="center"/>
      <w:rPr>
        <w:rFonts w:ascii="Arial" w:eastAsia="Times New Roman" w:hAnsi="Arial" w:cs="Arial"/>
        <w:b/>
        <w:bCs/>
        <w:sz w:val="28"/>
        <w:szCs w:val="28"/>
      </w:rPr>
    </w:pPr>
    <w:r w:rsidRPr="00EB3413">
      <w:rPr>
        <w:rFonts w:ascii="Arial" w:eastAsia="Times New Roman" w:hAnsi="Arial" w:cs="Arial"/>
        <w:b/>
        <w:bCs/>
        <w:sz w:val="28"/>
        <w:szCs w:val="28"/>
      </w:rPr>
      <w:t>mittelstandsdepesche 0</w:t>
    </w:r>
    <w:r>
      <w:rPr>
        <w:rFonts w:ascii="Arial" w:eastAsia="Times New Roman" w:hAnsi="Arial" w:cs="Arial"/>
        <w:b/>
        <w:bCs/>
        <w:sz w:val="28"/>
        <w:szCs w:val="28"/>
      </w:rPr>
      <w:t>8</w:t>
    </w:r>
    <w:r w:rsidRPr="00EB3413">
      <w:rPr>
        <w:rFonts w:ascii="Arial" w:eastAsia="Times New Roman" w:hAnsi="Arial" w:cs="Arial"/>
        <w:b/>
        <w:bCs/>
        <w:sz w:val="28"/>
        <w:szCs w:val="28"/>
      </w:rPr>
      <w:t>-2012</w:t>
    </w:r>
  </w:p>
  <w:p w:rsidR="009E6029" w:rsidRPr="00EB3413" w:rsidRDefault="009E6029" w:rsidP="00EB3413">
    <w:pPr>
      <w:tabs>
        <w:tab w:val="center" w:pos="4536"/>
        <w:tab w:val="right" w:pos="9072"/>
      </w:tabs>
      <w:spacing w:after="0" w:line="240" w:lineRule="auto"/>
      <w:jc w:val="right"/>
      <w:rPr>
        <w:rFonts w:ascii="Arial" w:eastAsia="Times New Roman" w:hAnsi="Arial" w:cs="Arial"/>
        <w:b/>
        <w:bCs/>
        <w:sz w:val="40"/>
        <w:szCs w:val="40"/>
      </w:rPr>
    </w:pPr>
    <w:r w:rsidRPr="00EB3413">
      <w:rPr>
        <w:rFonts w:ascii="Arial" w:eastAsia="Times New Roman" w:hAnsi="Arial" w:cs="Arial"/>
        <w:b/>
        <w:bCs/>
        <w:sz w:val="40"/>
        <w:szCs w:val="40"/>
      </w:rPr>
      <w:t>DASV</w:t>
    </w:r>
  </w:p>
  <w:p w:rsidR="009E6029" w:rsidRDefault="009E602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02962"/>
    <w:multiLevelType w:val="multilevel"/>
    <w:tmpl w:val="DF02FCF6"/>
    <w:lvl w:ilvl="0">
      <w:start w:val="1"/>
      <w:numFmt w:val="decimal"/>
      <w:lvlText w:val="%1."/>
      <w:lvlJc w:val="left"/>
      <w:pPr>
        <w:tabs>
          <w:tab w:val="num" w:pos="720"/>
        </w:tabs>
        <w:ind w:left="567" w:hanging="567"/>
      </w:pPr>
      <w:rPr>
        <w:rFonts w:cs="Times New Roman" w:hint="default"/>
      </w:rPr>
    </w:lvl>
    <w:lvl w:ilvl="1">
      <w:start w:val="1"/>
      <w:numFmt w:val="decimal"/>
      <w:lvlText w:val="%2."/>
      <w:lvlJc w:val="left"/>
      <w:pPr>
        <w:tabs>
          <w:tab w:val="num" w:pos="1287"/>
        </w:tabs>
        <w:ind w:left="1134" w:hanging="567"/>
      </w:pPr>
      <w:rPr>
        <w:rFonts w:cs="Times New Roman" w:hint="default"/>
      </w:rPr>
    </w:lvl>
    <w:lvl w:ilvl="2">
      <w:start w:val="1"/>
      <w:numFmt w:val="decimal"/>
      <w:lvlText w:val="%3."/>
      <w:lvlJc w:val="left"/>
      <w:pPr>
        <w:tabs>
          <w:tab w:val="num" w:pos="1854"/>
        </w:tabs>
        <w:ind w:left="1701" w:hanging="567"/>
      </w:pPr>
      <w:rPr>
        <w:rFonts w:cs="Times New Roman" w:hint="default"/>
      </w:rPr>
    </w:lvl>
    <w:lvl w:ilvl="3">
      <w:start w:val="1"/>
      <w:numFmt w:val="decimal"/>
      <w:lvlText w:val="%4."/>
      <w:lvlJc w:val="left"/>
      <w:pPr>
        <w:tabs>
          <w:tab w:val="num" w:pos="2421"/>
        </w:tabs>
        <w:ind w:left="2268" w:hanging="567"/>
      </w:pPr>
      <w:rPr>
        <w:rFonts w:cs="Times New Roman" w:hint="default"/>
      </w:rPr>
    </w:lvl>
    <w:lvl w:ilvl="4">
      <w:start w:val="1"/>
      <w:numFmt w:val="decimal"/>
      <w:lvlText w:val="%5."/>
      <w:lvlJc w:val="left"/>
      <w:pPr>
        <w:tabs>
          <w:tab w:val="num" w:pos="2988"/>
        </w:tabs>
        <w:ind w:left="2835" w:hanging="567"/>
      </w:pPr>
      <w:rPr>
        <w:rFonts w:cs="Times New Roman" w:hint="default"/>
      </w:rPr>
    </w:lvl>
    <w:lvl w:ilvl="5">
      <w:start w:val="1"/>
      <w:numFmt w:val="decimal"/>
      <w:lvlText w:val="%6."/>
      <w:lvlJc w:val="left"/>
      <w:pPr>
        <w:tabs>
          <w:tab w:val="num" w:pos="3555"/>
        </w:tabs>
        <w:ind w:left="3402" w:hanging="567"/>
      </w:pPr>
      <w:rPr>
        <w:rFonts w:cs="Times New Roman" w:hint="default"/>
      </w:rPr>
    </w:lvl>
    <w:lvl w:ilvl="6">
      <w:start w:val="1"/>
      <w:numFmt w:val="decimal"/>
      <w:lvlText w:val="%7."/>
      <w:lvlJc w:val="left"/>
      <w:pPr>
        <w:tabs>
          <w:tab w:val="num" w:pos="4122"/>
        </w:tabs>
        <w:ind w:left="3969" w:hanging="567"/>
      </w:pPr>
      <w:rPr>
        <w:rFonts w:cs="Times New Roman" w:hint="default"/>
      </w:rPr>
    </w:lvl>
    <w:lvl w:ilvl="7">
      <w:start w:val="1"/>
      <w:numFmt w:val="decimal"/>
      <w:lvlText w:val="%8."/>
      <w:lvlJc w:val="left"/>
      <w:pPr>
        <w:tabs>
          <w:tab w:val="num" w:pos="4689"/>
        </w:tabs>
        <w:ind w:left="4536" w:hanging="567"/>
      </w:pPr>
      <w:rPr>
        <w:rFonts w:cs="Times New Roman" w:hint="default"/>
      </w:rPr>
    </w:lvl>
    <w:lvl w:ilvl="8">
      <w:start w:val="1"/>
      <w:numFmt w:val="decimal"/>
      <w:lvlText w:val="%9."/>
      <w:lvlJc w:val="left"/>
      <w:pPr>
        <w:tabs>
          <w:tab w:val="num" w:pos="5256"/>
        </w:tabs>
        <w:ind w:left="5103" w:hanging="567"/>
      </w:pPr>
      <w:rPr>
        <w:rFonts w:cs="Times New Roman" w:hint="default"/>
      </w:rPr>
    </w:lvl>
  </w:abstractNum>
  <w:abstractNum w:abstractNumId="1">
    <w:nsid w:val="35732DF5"/>
    <w:multiLevelType w:val="hybridMultilevel"/>
    <w:tmpl w:val="E3E68B2C"/>
    <w:lvl w:ilvl="0" w:tplc="127EB0D8">
      <w:start w:val="1"/>
      <w:numFmt w:val="lowerLetter"/>
      <w:lvlText w:val="%1)"/>
      <w:lvlJc w:val="left"/>
      <w:pPr>
        <w:tabs>
          <w:tab w:val="num" w:pos="567"/>
        </w:tabs>
        <w:ind w:left="567" w:hanging="567"/>
      </w:pPr>
      <w:rPr>
        <w:rFonts w:ascii="Arial" w:eastAsia="Calibri"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3851271"/>
    <w:multiLevelType w:val="hybridMultilevel"/>
    <w:tmpl w:val="235E58C0"/>
    <w:lvl w:ilvl="0" w:tplc="C490844E">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B5257EE"/>
    <w:multiLevelType w:val="hybridMultilevel"/>
    <w:tmpl w:val="31829FB0"/>
    <w:lvl w:ilvl="0" w:tplc="127EB0D8">
      <w:start w:val="1"/>
      <w:numFmt w:val="lowerLetter"/>
      <w:lvlText w:val="%1)"/>
      <w:lvlJc w:val="left"/>
      <w:pPr>
        <w:tabs>
          <w:tab w:val="num" w:pos="567"/>
        </w:tabs>
        <w:ind w:left="567" w:hanging="567"/>
      </w:pPr>
      <w:rPr>
        <w:rFonts w:ascii="Arial" w:eastAsia="Calibri"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E89"/>
    <w:rsid w:val="000F58B7"/>
    <w:rsid w:val="002A3F94"/>
    <w:rsid w:val="003E0FE5"/>
    <w:rsid w:val="00400281"/>
    <w:rsid w:val="005B2D79"/>
    <w:rsid w:val="006948C3"/>
    <w:rsid w:val="006E77C5"/>
    <w:rsid w:val="007811F1"/>
    <w:rsid w:val="007A5762"/>
    <w:rsid w:val="009E6029"/>
    <w:rsid w:val="00A37766"/>
    <w:rsid w:val="00BF6599"/>
    <w:rsid w:val="00C15388"/>
    <w:rsid w:val="00C82F91"/>
    <w:rsid w:val="00D65F19"/>
    <w:rsid w:val="00D74CCE"/>
    <w:rsid w:val="00DB3E89"/>
    <w:rsid w:val="00EB3413"/>
    <w:rsid w:val="00EC5511"/>
    <w:rsid w:val="00F608BC"/>
    <w:rsid w:val="00FD38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0F58B7"/>
    <w:pPr>
      <w:spacing w:before="100" w:beforeAutospacing="1" w:after="100" w:afterAutospacing="1" w:line="280" w:lineRule="atLeast"/>
      <w:outlineLvl w:val="2"/>
    </w:pPr>
    <w:rPr>
      <w:rFonts w:ascii="Verdana" w:eastAsia="Times New Roman" w:hAnsi="Verdana" w:cs="Times New Roman"/>
      <w:b/>
      <w:bCs/>
      <w:color w:val="3F58AD"/>
      <w:sz w:val="16"/>
      <w:szCs w:val="16"/>
      <w:lang w:eastAsia="de-DE"/>
    </w:rPr>
  </w:style>
  <w:style w:type="paragraph" w:styleId="berschrift4">
    <w:name w:val="heading 4"/>
    <w:basedOn w:val="Standard"/>
    <w:next w:val="Standard"/>
    <w:link w:val="berschrift4Zchn"/>
    <w:uiPriority w:val="9"/>
    <w:semiHidden/>
    <w:unhideWhenUsed/>
    <w:qFormat/>
    <w:rsid w:val="004002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0F58B7"/>
    <w:rPr>
      <w:rFonts w:ascii="Verdana" w:eastAsia="Times New Roman" w:hAnsi="Verdana" w:cs="Times New Roman"/>
      <w:b/>
      <w:bCs/>
      <w:color w:val="3F58AD"/>
      <w:sz w:val="16"/>
      <w:szCs w:val="16"/>
      <w:lang w:eastAsia="de-DE"/>
    </w:rPr>
  </w:style>
  <w:style w:type="paragraph" w:styleId="StandardWeb">
    <w:name w:val="Normal (Web)"/>
    <w:basedOn w:val="Standard"/>
    <w:uiPriority w:val="99"/>
    <w:semiHidden/>
    <w:unhideWhenUsed/>
    <w:rsid w:val="000F58B7"/>
    <w:pPr>
      <w:spacing w:before="100" w:beforeAutospacing="1" w:line="280" w:lineRule="atLeast"/>
    </w:pPr>
    <w:rPr>
      <w:rFonts w:ascii="Verdana" w:eastAsia="Times New Roman" w:hAnsi="Verdana" w:cs="Times New Roman"/>
      <w:sz w:val="16"/>
      <w:szCs w:val="16"/>
      <w:lang w:eastAsia="de-DE"/>
    </w:rPr>
  </w:style>
  <w:style w:type="character" w:customStyle="1" w:styleId="berschrift4Zchn">
    <w:name w:val="Überschrift 4 Zchn"/>
    <w:basedOn w:val="Absatz-Standardschriftart"/>
    <w:link w:val="berschrift4"/>
    <w:uiPriority w:val="9"/>
    <w:semiHidden/>
    <w:rsid w:val="00400281"/>
    <w:rPr>
      <w:rFonts w:asciiTheme="majorHAnsi" w:eastAsiaTheme="majorEastAsia" w:hAnsiTheme="majorHAnsi" w:cstheme="majorBidi"/>
      <w:b/>
      <w:bCs/>
      <w:i/>
      <w:iCs/>
      <w:color w:val="4F81BD" w:themeColor="accent1"/>
    </w:rPr>
  </w:style>
  <w:style w:type="character" w:styleId="Fett">
    <w:name w:val="Strong"/>
    <w:basedOn w:val="Absatz-Standardschriftart"/>
    <w:uiPriority w:val="22"/>
    <w:qFormat/>
    <w:rsid w:val="00400281"/>
    <w:rPr>
      <w:b/>
      <w:bCs/>
    </w:rPr>
  </w:style>
  <w:style w:type="character" w:styleId="Hyperlink">
    <w:name w:val="Hyperlink"/>
    <w:basedOn w:val="Absatz-Standardschriftart"/>
    <w:uiPriority w:val="99"/>
    <w:semiHidden/>
    <w:unhideWhenUsed/>
    <w:rsid w:val="00400281"/>
    <w:rPr>
      <w:color w:val="0000FF"/>
      <w:u w:val="single"/>
    </w:rPr>
  </w:style>
  <w:style w:type="paragraph" w:styleId="Sprechblasentext">
    <w:name w:val="Balloon Text"/>
    <w:basedOn w:val="Standard"/>
    <w:link w:val="SprechblasentextZchn"/>
    <w:uiPriority w:val="99"/>
    <w:semiHidden/>
    <w:unhideWhenUsed/>
    <w:rsid w:val="004002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0281"/>
    <w:rPr>
      <w:rFonts w:ascii="Tahoma" w:hAnsi="Tahoma" w:cs="Tahoma"/>
      <w:sz w:val="16"/>
      <w:szCs w:val="16"/>
    </w:rPr>
  </w:style>
  <w:style w:type="paragraph" w:styleId="Kopfzeile">
    <w:name w:val="header"/>
    <w:basedOn w:val="Standard"/>
    <w:link w:val="KopfzeileZchn"/>
    <w:uiPriority w:val="99"/>
    <w:unhideWhenUsed/>
    <w:rsid w:val="00EB34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3413"/>
  </w:style>
  <w:style w:type="paragraph" w:styleId="Fuzeile">
    <w:name w:val="footer"/>
    <w:basedOn w:val="Standard"/>
    <w:link w:val="FuzeileZchn"/>
    <w:uiPriority w:val="99"/>
    <w:unhideWhenUsed/>
    <w:rsid w:val="00EB34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3413"/>
  </w:style>
  <w:style w:type="paragraph" w:styleId="Listenabsatz">
    <w:name w:val="List Paragraph"/>
    <w:basedOn w:val="Standard"/>
    <w:uiPriority w:val="34"/>
    <w:qFormat/>
    <w:rsid w:val="00C153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0F58B7"/>
    <w:pPr>
      <w:spacing w:before="100" w:beforeAutospacing="1" w:after="100" w:afterAutospacing="1" w:line="280" w:lineRule="atLeast"/>
      <w:outlineLvl w:val="2"/>
    </w:pPr>
    <w:rPr>
      <w:rFonts w:ascii="Verdana" w:eastAsia="Times New Roman" w:hAnsi="Verdana" w:cs="Times New Roman"/>
      <w:b/>
      <w:bCs/>
      <w:color w:val="3F58AD"/>
      <w:sz w:val="16"/>
      <w:szCs w:val="16"/>
      <w:lang w:eastAsia="de-DE"/>
    </w:rPr>
  </w:style>
  <w:style w:type="paragraph" w:styleId="berschrift4">
    <w:name w:val="heading 4"/>
    <w:basedOn w:val="Standard"/>
    <w:next w:val="Standard"/>
    <w:link w:val="berschrift4Zchn"/>
    <w:uiPriority w:val="9"/>
    <w:semiHidden/>
    <w:unhideWhenUsed/>
    <w:qFormat/>
    <w:rsid w:val="004002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0F58B7"/>
    <w:rPr>
      <w:rFonts w:ascii="Verdana" w:eastAsia="Times New Roman" w:hAnsi="Verdana" w:cs="Times New Roman"/>
      <w:b/>
      <w:bCs/>
      <w:color w:val="3F58AD"/>
      <w:sz w:val="16"/>
      <w:szCs w:val="16"/>
      <w:lang w:eastAsia="de-DE"/>
    </w:rPr>
  </w:style>
  <w:style w:type="paragraph" w:styleId="StandardWeb">
    <w:name w:val="Normal (Web)"/>
    <w:basedOn w:val="Standard"/>
    <w:uiPriority w:val="99"/>
    <w:semiHidden/>
    <w:unhideWhenUsed/>
    <w:rsid w:val="000F58B7"/>
    <w:pPr>
      <w:spacing w:before="100" w:beforeAutospacing="1" w:line="280" w:lineRule="atLeast"/>
    </w:pPr>
    <w:rPr>
      <w:rFonts w:ascii="Verdana" w:eastAsia="Times New Roman" w:hAnsi="Verdana" w:cs="Times New Roman"/>
      <w:sz w:val="16"/>
      <w:szCs w:val="16"/>
      <w:lang w:eastAsia="de-DE"/>
    </w:rPr>
  </w:style>
  <w:style w:type="character" w:customStyle="1" w:styleId="berschrift4Zchn">
    <w:name w:val="Überschrift 4 Zchn"/>
    <w:basedOn w:val="Absatz-Standardschriftart"/>
    <w:link w:val="berschrift4"/>
    <w:uiPriority w:val="9"/>
    <w:semiHidden/>
    <w:rsid w:val="00400281"/>
    <w:rPr>
      <w:rFonts w:asciiTheme="majorHAnsi" w:eastAsiaTheme="majorEastAsia" w:hAnsiTheme="majorHAnsi" w:cstheme="majorBidi"/>
      <w:b/>
      <w:bCs/>
      <w:i/>
      <w:iCs/>
      <w:color w:val="4F81BD" w:themeColor="accent1"/>
    </w:rPr>
  </w:style>
  <w:style w:type="character" w:styleId="Fett">
    <w:name w:val="Strong"/>
    <w:basedOn w:val="Absatz-Standardschriftart"/>
    <w:uiPriority w:val="22"/>
    <w:qFormat/>
    <w:rsid w:val="00400281"/>
    <w:rPr>
      <w:b/>
      <w:bCs/>
    </w:rPr>
  </w:style>
  <w:style w:type="character" w:styleId="Hyperlink">
    <w:name w:val="Hyperlink"/>
    <w:basedOn w:val="Absatz-Standardschriftart"/>
    <w:uiPriority w:val="99"/>
    <w:semiHidden/>
    <w:unhideWhenUsed/>
    <w:rsid w:val="00400281"/>
    <w:rPr>
      <w:color w:val="0000FF"/>
      <w:u w:val="single"/>
    </w:rPr>
  </w:style>
  <w:style w:type="paragraph" w:styleId="Sprechblasentext">
    <w:name w:val="Balloon Text"/>
    <w:basedOn w:val="Standard"/>
    <w:link w:val="SprechblasentextZchn"/>
    <w:uiPriority w:val="99"/>
    <w:semiHidden/>
    <w:unhideWhenUsed/>
    <w:rsid w:val="004002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0281"/>
    <w:rPr>
      <w:rFonts w:ascii="Tahoma" w:hAnsi="Tahoma" w:cs="Tahoma"/>
      <w:sz w:val="16"/>
      <w:szCs w:val="16"/>
    </w:rPr>
  </w:style>
  <w:style w:type="paragraph" w:styleId="Kopfzeile">
    <w:name w:val="header"/>
    <w:basedOn w:val="Standard"/>
    <w:link w:val="KopfzeileZchn"/>
    <w:uiPriority w:val="99"/>
    <w:unhideWhenUsed/>
    <w:rsid w:val="00EB34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3413"/>
  </w:style>
  <w:style w:type="paragraph" w:styleId="Fuzeile">
    <w:name w:val="footer"/>
    <w:basedOn w:val="Standard"/>
    <w:link w:val="FuzeileZchn"/>
    <w:uiPriority w:val="99"/>
    <w:unhideWhenUsed/>
    <w:rsid w:val="00EB34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3413"/>
  </w:style>
  <w:style w:type="paragraph" w:styleId="Listenabsatz">
    <w:name w:val="List Paragraph"/>
    <w:basedOn w:val="Standard"/>
    <w:uiPriority w:val="34"/>
    <w:qFormat/>
    <w:rsid w:val="00C15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25549">
      <w:bodyDiv w:val="1"/>
      <w:marLeft w:val="0"/>
      <w:marRight w:val="0"/>
      <w:marTop w:val="0"/>
      <w:marBottom w:val="0"/>
      <w:divBdr>
        <w:top w:val="none" w:sz="0" w:space="0" w:color="auto"/>
        <w:left w:val="none" w:sz="0" w:space="0" w:color="auto"/>
        <w:bottom w:val="none" w:sz="0" w:space="0" w:color="auto"/>
        <w:right w:val="none" w:sz="0" w:space="0" w:color="auto"/>
      </w:divBdr>
      <w:divsChild>
        <w:div w:id="2056923486">
          <w:marLeft w:val="0"/>
          <w:marRight w:val="0"/>
          <w:marTop w:val="0"/>
          <w:marBottom w:val="0"/>
          <w:divBdr>
            <w:top w:val="none" w:sz="0" w:space="0" w:color="auto"/>
            <w:left w:val="none" w:sz="0" w:space="0" w:color="auto"/>
            <w:bottom w:val="none" w:sz="0" w:space="0" w:color="auto"/>
            <w:right w:val="none" w:sz="0" w:space="0" w:color="auto"/>
          </w:divBdr>
          <w:divsChild>
            <w:div w:id="1264337640">
              <w:marLeft w:val="0"/>
              <w:marRight w:val="0"/>
              <w:marTop w:val="0"/>
              <w:marBottom w:val="0"/>
              <w:divBdr>
                <w:top w:val="none" w:sz="0" w:space="0" w:color="auto"/>
                <w:left w:val="none" w:sz="0" w:space="0" w:color="auto"/>
                <w:bottom w:val="none" w:sz="0" w:space="0" w:color="auto"/>
                <w:right w:val="none" w:sz="0" w:space="0" w:color="auto"/>
              </w:divBdr>
            </w:div>
            <w:div w:id="1776704662">
              <w:marLeft w:val="0"/>
              <w:marRight w:val="0"/>
              <w:marTop w:val="0"/>
              <w:marBottom w:val="0"/>
              <w:divBdr>
                <w:top w:val="none" w:sz="0" w:space="0" w:color="auto"/>
                <w:left w:val="none" w:sz="0" w:space="0" w:color="auto"/>
                <w:bottom w:val="none" w:sz="0" w:space="0" w:color="auto"/>
                <w:right w:val="none" w:sz="0" w:space="0" w:color="auto"/>
              </w:divBdr>
              <w:divsChild>
                <w:div w:id="13461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428207">
      <w:bodyDiv w:val="1"/>
      <w:marLeft w:val="0"/>
      <w:marRight w:val="0"/>
      <w:marTop w:val="0"/>
      <w:marBottom w:val="0"/>
      <w:divBdr>
        <w:top w:val="none" w:sz="0" w:space="0" w:color="auto"/>
        <w:left w:val="none" w:sz="0" w:space="0" w:color="auto"/>
        <w:bottom w:val="none" w:sz="0" w:space="0" w:color="auto"/>
        <w:right w:val="none" w:sz="0" w:space="0" w:color="auto"/>
      </w:divBdr>
      <w:divsChild>
        <w:div w:id="325666835">
          <w:marLeft w:val="0"/>
          <w:marRight w:val="0"/>
          <w:marTop w:val="0"/>
          <w:marBottom w:val="0"/>
          <w:divBdr>
            <w:top w:val="none" w:sz="0" w:space="0" w:color="auto"/>
            <w:left w:val="none" w:sz="0" w:space="0" w:color="auto"/>
            <w:bottom w:val="none" w:sz="0" w:space="0" w:color="auto"/>
            <w:right w:val="none" w:sz="0" w:space="0" w:color="auto"/>
          </w:divBdr>
          <w:divsChild>
            <w:div w:id="1698583321">
              <w:marLeft w:val="0"/>
              <w:marRight w:val="0"/>
              <w:marTop w:val="0"/>
              <w:marBottom w:val="0"/>
              <w:divBdr>
                <w:top w:val="none" w:sz="0" w:space="0" w:color="auto"/>
                <w:left w:val="none" w:sz="0" w:space="0" w:color="auto"/>
                <w:bottom w:val="none" w:sz="0" w:space="0" w:color="auto"/>
                <w:right w:val="none" w:sz="0" w:space="0" w:color="auto"/>
              </w:divBdr>
            </w:div>
            <w:div w:id="135149002">
              <w:marLeft w:val="0"/>
              <w:marRight w:val="0"/>
              <w:marTop w:val="0"/>
              <w:marBottom w:val="0"/>
              <w:divBdr>
                <w:top w:val="none" w:sz="0" w:space="0" w:color="auto"/>
                <w:left w:val="none" w:sz="0" w:space="0" w:color="auto"/>
                <w:bottom w:val="none" w:sz="0" w:space="0" w:color="auto"/>
                <w:right w:val="none" w:sz="0" w:space="0" w:color="auto"/>
              </w:divBdr>
              <w:divsChild>
                <w:div w:id="21073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225900">
      <w:bodyDiv w:val="1"/>
      <w:marLeft w:val="0"/>
      <w:marRight w:val="0"/>
      <w:marTop w:val="0"/>
      <w:marBottom w:val="0"/>
      <w:divBdr>
        <w:top w:val="none" w:sz="0" w:space="0" w:color="auto"/>
        <w:left w:val="none" w:sz="0" w:space="0" w:color="auto"/>
        <w:bottom w:val="none" w:sz="0" w:space="0" w:color="auto"/>
        <w:right w:val="none" w:sz="0" w:space="0" w:color="auto"/>
      </w:divBdr>
      <w:divsChild>
        <w:div w:id="610630202">
          <w:marLeft w:val="0"/>
          <w:marRight w:val="0"/>
          <w:marTop w:val="0"/>
          <w:marBottom w:val="0"/>
          <w:divBdr>
            <w:top w:val="none" w:sz="0" w:space="0" w:color="auto"/>
            <w:left w:val="none" w:sz="0" w:space="0" w:color="auto"/>
            <w:bottom w:val="none" w:sz="0" w:space="0" w:color="auto"/>
            <w:right w:val="none" w:sz="0" w:space="0" w:color="auto"/>
          </w:divBdr>
          <w:divsChild>
            <w:div w:id="574172052">
              <w:marLeft w:val="0"/>
              <w:marRight w:val="0"/>
              <w:marTop w:val="0"/>
              <w:marBottom w:val="0"/>
              <w:divBdr>
                <w:top w:val="none" w:sz="0" w:space="0" w:color="auto"/>
                <w:left w:val="none" w:sz="0" w:space="0" w:color="auto"/>
                <w:bottom w:val="none" w:sz="0" w:space="0" w:color="auto"/>
                <w:right w:val="none" w:sz="0" w:space="0" w:color="auto"/>
              </w:divBdr>
            </w:div>
            <w:div w:id="1906529784">
              <w:marLeft w:val="0"/>
              <w:marRight w:val="0"/>
              <w:marTop w:val="0"/>
              <w:marBottom w:val="0"/>
              <w:divBdr>
                <w:top w:val="none" w:sz="0" w:space="0" w:color="auto"/>
                <w:left w:val="none" w:sz="0" w:space="0" w:color="auto"/>
                <w:bottom w:val="none" w:sz="0" w:space="0" w:color="auto"/>
                <w:right w:val="none" w:sz="0" w:space="0" w:color="auto"/>
              </w:divBdr>
              <w:divsChild>
                <w:div w:id="137882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146646">
      <w:bodyDiv w:val="1"/>
      <w:marLeft w:val="0"/>
      <w:marRight w:val="0"/>
      <w:marTop w:val="0"/>
      <w:marBottom w:val="0"/>
      <w:divBdr>
        <w:top w:val="none" w:sz="0" w:space="0" w:color="auto"/>
        <w:left w:val="none" w:sz="0" w:space="0" w:color="auto"/>
        <w:bottom w:val="none" w:sz="0" w:space="0" w:color="auto"/>
        <w:right w:val="none" w:sz="0" w:space="0" w:color="auto"/>
      </w:divBdr>
      <w:divsChild>
        <w:div w:id="1360819029">
          <w:marLeft w:val="0"/>
          <w:marRight w:val="0"/>
          <w:marTop w:val="0"/>
          <w:marBottom w:val="200"/>
          <w:divBdr>
            <w:top w:val="none" w:sz="0" w:space="0" w:color="auto"/>
            <w:left w:val="none" w:sz="0" w:space="0" w:color="auto"/>
            <w:bottom w:val="single" w:sz="6" w:space="0" w:color="777777"/>
            <w:right w:val="none" w:sz="0" w:space="0" w:color="auto"/>
          </w:divBdr>
        </w:div>
      </w:divsChild>
    </w:div>
    <w:div w:id="797836554">
      <w:bodyDiv w:val="1"/>
      <w:marLeft w:val="0"/>
      <w:marRight w:val="0"/>
      <w:marTop w:val="0"/>
      <w:marBottom w:val="0"/>
      <w:divBdr>
        <w:top w:val="none" w:sz="0" w:space="0" w:color="auto"/>
        <w:left w:val="none" w:sz="0" w:space="0" w:color="auto"/>
        <w:bottom w:val="none" w:sz="0" w:space="0" w:color="auto"/>
        <w:right w:val="none" w:sz="0" w:space="0" w:color="auto"/>
      </w:divBdr>
      <w:divsChild>
        <w:div w:id="1106001426">
          <w:marLeft w:val="0"/>
          <w:marRight w:val="0"/>
          <w:marTop w:val="0"/>
          <w:marBottom w:val="0"/>
          <w:divBdr>
            <w:top w:val="none" w:sz="0" w:space="0" w:color="auto"/>
            <w:left w:val="none" w:sz="0" w:space="0" w:color="auto"/>
            <w:bottom w:val="none" w:sz="0" w:space="0" w:color="auto"/>
            <w:right w:val="none" w:sz="0" w:space="0" w:color="auto"/>
          </w:divBdr>
          <w:divsChild>
            <w:div w:id="1714497867">
              <w:marLeft w:val="-300"/>
              <w:marRight w:val="0"/>
              <w:marTop w:val="60"/>
              <w:marBottom w:val="0"/>
              <w:divBdr>
                <w:top w:val="none" w:sz="0" w:space="0" w:color="auto"/>
                <w:left w:val="none" w:sz="0" w:space="0" w:color="auto"/>
                <w:bottom w:val="none" w:sz="0" w:space="0" w:color="auto"/>
                <w:right w:val="none" w:sz="0" w:space="0" w:color="auto"/>
              </w:divBdr>
            </w:div>
          </w:divsChild>
        </w:div>
        <w:div w:id="2046169664">
          <w:marLeft w:val="0"/>
          <w:marRight w:val="0"/>
          <w:marTop w:val="0"/>
          <w:marBottom w:val="0"/>
          <w:divBdr>
            <w:top w:val="none" w:sz="0" w:space="0" w:color="auto"/>
            <w:left w:val="none" w:sz="0" w:space="0" w:color="auto"/>
            <w:bottom w:val="none" w:sz="0" w:space="0" w:color="auto"/>
            <w:right w:val="none" w:sz="0" w:space="0" w:color="auto"/>
          </w:divBdr>
          <w:divsChild>
            <w:div w:id="1545143812">
              <w:marLeft w:val="0"/>
              <w:marRight w:val="0"/>
              <w:marTop w:val="0"/>
              <w:marBottom w:val="0"/>
              <w:divBdr>
                <w:top w:val="none" w:sz="0" w:space="0" w:color="auto"/>
                <w:left w:val="none" w:sz="0" w:space="0" w:color="auto"/>
                <w:bottom w:val="none" w:sz="0" w:space="0" w:color="auto"/>
                <w:right w:val="none" w:sz="0" w:space="0" w:color="auto"/>
              </w:divBdr>
            </w:div>
            <w:div w:id="107891510">
              <w:marLeft w:val="0"/>
              <w:marRight w:val="0"/>
              <w:marTop w:val="0"/>
              <w:marBottom w:val="0"/>
              <w:divBdr>
                <w:top w:val="none" w:sz="0" w:space="0" w:color="auto"/>
                <w:left w:val="none" w:sz="0" w:space="0" w:color="auto"/>
                <w:bottom w:val="none" w:sz="0" w:space="0" w:color="auto"/>
                <w:right w:val="none" w:sz="0" w:space="0" w:color="auto"/>
              </w:divBdr>
              <w:divsChild>
                <w:div w:id="118340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84345">
      <w:bodyDiv w:val="1"/>
      <w:marLeft w:val="0"/>
      <w:marRight w:val="0"/>
      <w:marTop w:val="0"/>
      <w:marBottom w:val="0"/>
      <w:divBdr>
        <w:top w:val="none" w:sz="0" w:space="0" w:color="auto"/>
        <w:left w:val="none" w:sz="0" w:space="0" w:color="auto"/>
        <w:bottom w:val="none" w:sz="0" w:space="0" w:color="auto"/>
        <w:right w:val="none" w:sz="0" w:space="0" w:color="auto"/>
      </w:divBdr>
      <w:divsChild>
        <w:div w:id="2096780362">
          <w:marLeft w:val="0"/>
          <w:marRight w:val="0"/>
          <w:marTop w:val="0"/>
          <w:marBottom w:val="0"/>
          <w:divBdr>
            <w:top w:val="none" w:sz="0" w:space="0" w:color="auto"/>
            <w:left w:val="none" w:sz="0" w:space="0" w:color="auto"/>
            <w:bottom w:val="none" w:sz="0" w:space="0" w:color="auto"/>
            <w:right w:val="none" w:sz="0" w:space="0" w:color="auto"/>
          </w:divBdr>
          <w:divsChild>
            <w:div w:id="305362019">
              <w:marLeft w:val="0"/>
              <w:marRight w:val="0"/>
              <w:marTop w:val="0"/>
              <w:marBottom w:val="0"/>
              <w:divBdr>
                <w:top w:val="none" w:sz="0" w:space="0" w:color="auto"/>
                <w:left w:val="none" w:sz="0" w:space="0" w:color="auto"/>
                <w:bottom w:val="none" w:sz="0" w:space="0" w:color="auto"/>
                <w:right w:val="none" w:sz="0" w:space="0" w:color="auto"/>
              </w:divBdr>
            </w:div>
            <w:div w:id="486821293">
              <w:marLeft w:val="0"/>
              <w:marRight w:val="0"/>
              <w:marTop w:val="0"/>
              <w:marBottom w:val="0"/>
              <w:divBdr>
                <w:top w:val="none" w:sz="0" w:space="0" w:color="auto"/>
                <w:left w:val="none" w:sz="0" w:space="0" w:color="auto"/>
                <w:bottom w:val="none" w:sz="0" w:space="0" w:color="auto"/>
                <w:right w:val="none" w:sz="0" w:space="0" w:color="auto"/>
              </w:divBdr>
              <w:divsChild>
                <w:div w:id="4357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70901">
      <w:bodyDiv w:val="1"/>
      <w:marLeft w:val="0"/>
      <w:marRight w:val="0"/>
      <w:marTop w:val="0"/>
      <w:marBottom w:val="0"/>
      <w:divBdr>
        <w:top w:val="none" w:sz="0" w:space="0" w:color="auto"/>
        <w:left w:val="none" w:sz="0" w:space="0" w:color="auto"/>
        <w:bottom w:val="none" w:sz="0" w:space="0" w:color="auto"/>
        <w:right w:val="none" w:sz="0" w:space="0" w:color="auto"/>
      </w:divBdr>
      <w:divsChild>
        <w:div w:id="577789300">
          <w:marLeft w:val="0"/>
          <w:marRight w:val="0"/>
          <w:marTop w:val="0"/>
          <w:marBottom w:val="0"/>
          <w:divBdr>
            <w:top w:val="none" w:sz="0" w:space="0" w:color="auto"/>
            <w:left w:val="none" w:sz="0" w:space="0" w:color="auto"/>
            <w:bottom w:val="none" w:sz="0" w:space="0" w:color="auto"/>
            <w:right w:val="none" w:sz="0" w:space="0" w:color="auto"/>
          </w:divBdr>
          <w:divsChild>
            <w:div w:id="1776242854">
              <w:marLeft w:val="0"/>
              <w:marRight w:val="0"/>
              <w:marTop w:val="0"/>
              <w:marBottom w:val="0"/>
              <w:divBdr>
                <w:top w:val="none" w:sz="0" w:space="0" w:color="auto"/>
                <w:left w:val="none" w:sz="0" w:space="0" w:color="auto"/>
                <w:bottom w:val="none" w:sz="0" w:space="0" w:color="auto"/>
                <w:right w:val="none" w:sz="0" w:space="0" w:color="auto"/>
              </w:divBdr>
            </w:div>
            <w:div w:id="1733624893">
              <w:marLeft w:val="0"/>
              <w:marRight w:val="0"/>
              <w:marTop w:val="0"/>
              <w:marBottom w:val="0"/>
              <w:divBdr>
                <w:top w:val="none" w:sz="0" w:space="0" w:color="auto"/>
                <w:left w:val="none" w:sz="0" w:space="0" w:color="auto"/>
                <w:bottom w:val="none" w:sz="0" w:space="0" w:color="auto"/>
                <w:right w:val="none" w:sz="0" w:space="0" w:color="auto"/>
              </w:divBdr>
              <w:divsChild>
                <w:div w:id="21124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98163">
      <w:bodyDiv w:val="1"/>
      <w:marLeft w:val="0"/>
      <w:marRight w:val="0"/>
      <w:marTop w:val="0"/>
      <w:marBottom w:val="0"/>
      <w:divBdr>
        <w:top w:val="none" w:sz="0" w:space="0" w:color="auto"/>
        <w:left w:val="none" w:sz="0" w:space="0" w:color="auto"/>
        <w:bottom w:val="none" w:sz="0" w:space="0" w:color="auto"/>
        <w:right w:val="none" w:sz="0" w:space="0" w:color="auto"/>
      </w:divBdr>
      <w:divsChild>
        <w:div w:id="1781031228">
          <w:marLeft w:val="0"/>
          <w:marRight w:val="0"/>
          <w:marTop w:val="0"/>
          <w:marBottom w:val="0"/>
          <w:divBdr>
            <w:top w:val="none" w:sz="0" w:space="0" w:color="auto"/>
            <w:left w:val="none" w:sz="0" w:space="0" w:color="auto"/>
            <w:bottom w:val="none" w:sz="0" w:space="0" w:color="auto"/>
            <w:right w:val="none" w:sz="0" w:space="0" w:color="auto"/>
          </w:divBdr>
          <w:divsChild>
            <w:div w:id="368382502">
              <w:marLeft w:val="0"/>
              <w:marRight w:val="0"/>
              <w:marTop w:val="0"/>
              <w:marBottom w:val="0"/>
              <w:divBdr>
                <w:top w:val="none" w:sz="0" w:space="0" w:color="auto"/>
                <w:left w:val="none" w:sz="0" w:space="0" w:color="auto"/>
                <w:bottom w:val="none" w:sz="0" w:space="0" w:color="auto"/>
                <w:right w:val="none" w:sz="0" w:space="0" w:color="auto"/>
              </w:divBdr>
            </w:div>
            <w:div w:id="723792515">
              <w:marLeft w:val="0"/>
              <w:marRight w:val="0"/>
              <w:marTop w:val="0"/>
              <w:marBottom w:val="0"/>
              <w:divBdr>
                <w:top w:val="none" w:sz="0" w:space="0" w:color="auto"/>
                <w:left w:val="none" w:sz="0" w:space="0" w:color="auto"/>
                <w:bottom w:val="none" w:sz="0" w:space="0" w:color="auto"/>
                <w:right w:val="none" w:sz="0" w:space="0" w:color="auto"/>
              </w:divBdr>
              <w:divsChild>
                <w:div w:id="143262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438967">
      <w:bodyDiv w:val="1"/>
      <w:marLeft w:val="0"/>
      <w:marRight w:val="0"/>
      <w:marTop w:val="0"/>
      <w:marBottom w:val="0"/>
      <w:divBdr>
        <w:top w:val="none" w:sz="0" w:space="0" w:color="auto"/>
        <w:left w:val="none" w:sz="0" w:space="0" w:color="auto"/>
        <w:bottom w:val="none" w:sz="0" w:space="0" w:color="auto"/>
        <w:right w:val="none" w:sz="0" w:space="0" w:color="auto"/>
      </w:divBdr>
      <w:divsChild>
        <w:div w:id="1889875728">
          <w:marLeft w:val="0"/>
          <w:marRight w:val="0"/>
          <w:marTop w:val="0"/>
          <w:marBottom w:val="200"/>
          <w:divBdr>
            <w:top w:val="none" w:sz="0" w:space="0" w:color="auto"/>
            <w:left w:val="none" w:sz="0" w:space="0" w:color="auto"/>
            <w:bottom w:val="single" w:sz="6" w:space="0" w:color="777777"/>
            <w:right w:val="none" w:sz="0" w:space="0" w:color="auto"/>
          </w:divBdr>
        </w:div>
      </w:divsChild>
    </w:div>
    <w:div w:id="2081781027">
      <w:bodyDiv w:val="1"/>
      <w:marLeft w:val="0"/>
      <w:marRight w:val="0"/>
      <w:marTop w:val="0"/>
      <w:marBottom w:val="0"/>
      <w:divBdr>
        <w:top w:val="none" w:sz="0" w:space="0" w:color="auto"/>
        <w:left w:val="none" w:sz="0" w:space="0" w:color="auto"/>
        <w:bottom w:val="none" w:sz="0" w:space="0" w:color="auto"/>
        <w:right w:val="none" w:sz="0" w:space="0" w:color="auto"/>
      </w:divBdr>
      <w:divsChild>
        <w:div w:id="839782884">
          <w:marLeft w:val="0"/>
          <w:marRight w:val="0"/>
          <w:marTop w:val="0"/>
          <w:marBottom w:val="0"/>
          <w:divBdr>
            <w:top w:val="none" w:sz="0" w:space="0" w:color="auto"/>
            <w:left w:val="none" w:sz="0" w:space="0" w:color="auto"/>
            <w:bottom w:val="none" w:sz="0" w:space="0" w:color="auto"/>
            <w:right w:val="none" w:sz="0" w:space="0" w:color="auto"/>
          </w:divBdr>
          <w:divsChild>
            <w:div w:id="290940132">
              <w:marLeft w:val="-300"/>
              <w:marRight w:val="0"/>
              <w:marTop w:val="60"/>
              <w:marBottom w:val="0"/>
              <w:divBdr>
                <w:top w:val="none" w:sz="0" w:space="0" w:color="auto"/>
                <w:left w:val="none" w:sz="0" w:space="0" w:color="auto"/>
                <w:bottom w:val="none" w:sz="0" w:space="0" w:color="auto"/>
                <w:right w:val="none" w:sz="0" w:space="0" w:color="auto"/>
              </w:divBdr>
            </w:div>
          </w:divsChild>
        </w:div>
        <w:div w:id="93673224">
          <w:marLeft w:val="0"/>
          <w:marRight w:val="0"/>
          <w:marTop w:val="0"/>
          <w:marBottom w:val="0"/>
          <w:divBdr>
            <w:top w:val="none" w:sz="0" w:space="0" w:color="auto"/>
            <w:left w:val="none" w:sz="0" w:space="0" w:color="auto"/>
            <w:bottom w:val="none" w:sz="0" w:space="0" w:color="auto"/>
            <w:right w:val="none" w:sz="0" w:space="0" w:color="auto"/>
          </w:divBdr>
          <w:divsChild>
            <w:div w:id="1830366733">
              <w:marLeft w:val="0"/>
              <w:marRight w:val="0"/>
              <w:marTop w:val="0"/>
              <w:marBottom w:val="0"/>
              <w:divBdr>
                <w:top w:val="none" w:sz="0" w:space="0" w:color="auto"/>
                <w:left w:val="none" w:sz="0" w:space="0" w:color="auto"/>
                <w:bottom w:val="none" w:sz="0" w:space="0" w:color="auto"/>
                <w:right w:val="none" w:sz="0" w:space="0" w:color="auto"/>
              </w:divBdr>
            </w:div>
            <w:div w:id="1544907083">
              <w:marLeft w:val="0"/>
              <w:marRight w:val="0"/>
              <w:marTop w:val="0"/>
              <w:marBottom w:val="0"/>
              <w:divBdr>
                <w:top w:val="none" w:sz="0" w:space="0" w:color="auto"/>
                <w:left w:val="none" w:sz="0" w:space="0" w:color="auto"/>
                <w:bottom w:val="none" w:sz="0" w:space="0" w:color="auto"/>
                <w:right w:val="none" w:sz="0" w:space="0" w:color="auto"/>
              </w:divBdr>
              <w:divsChild>
                <w:div w:id="109532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03073">
      <w:bodyDiv w:val="1"/>
      <w:marLeft w:val="0"/>
      <w:marRight w:val="0"/>
      <w:marTop w:val="0"/>
      <w:marBottom w:val="0"/>
      <w:divBdr>
        <w:top w:val="none" w:sz="0" w:space="0" w:color="auto"/>
        <w:left w:val="none" w:sz="0" w:space="0" w:color="auto"/>
        <w:bottom w:val="none" w:sz="0" w:space="0" w:color="auto"/>
        <w:right w:val="none" w:sz="0" w:space="0" w:color="auto"/>
      </w:divBdr>
      <w:divsChild>
        <w:div w:id="157236736">
          <w:marLeft w:val="0"/>
          <w:marRight w:val="0"/>
          <w:marTop w:val="0"/>
          <w:marBottom w:val="200"/>
          <w:divBdr>
            <w:top w:val="none" w:sz="0" w:space="0" w:color="auto"/>
            <w:left w:val="none" w:sz="0" w:space="0" w:color="auto"/>
            <w:bottom w:val="single" w:sz="6" w:space="0" w:color="777777"/>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n@drgaupp.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rgaup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976</Words>
  <Characters>6125</Characters>
  <Application>Microsoft Office Word</Application>
  <DocSecurity>0</DocSecurity>
  <Lines>408</Lines>
  <Paragraphs>173</Paragraphs>
  <ScaleCrop>false</ScaleCrop>
  <HeadingPairs>
    <vt:vector size="2" baseType="variant">
      <vt:variant>
        <vt:lpstr>Titel</vt:lpstr>
      </vt:variant>
      <vt:variant>
        <vt:i4>1</vt:i4>
      </vt:variant>
    </vt:vector>
  </HeadingPairs>
  <TitlesOfParts>
    <vt:vector size="1" baseType="lpstr">
      <vt:lpstr/>
    </vt:vector>
  </TitlesOfParts>
  <Company>Dr.Gaupp Rechtsanwälte</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Simon</dc:creator>
  <cp:keywords/>
  <dc:description/>
  <cp:lastModifiedBy>Jasmin Simon</cp:lastModifiedBy>
  <cp:revision>8</cp:revision>
  <dcterms:created xsi:type="dcterms:W3CDTF">2012-07-27T15:00:00Z</dcterms:created>
  <dcterms:modified xsi:type="dcterms:W3CDTF">2012-08-27T12:43:00Z</dcterms:modified>
</cp:coreProperties>
</file>