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FBC" w:rsidRPr="00FE7FBC" w:rsidRDefault="00FE7FBC" w:rsidP="00FE7FBC">
      <w:pPr>
        <w:tabs>
          <w:tab w:val="center" w:pos="4536"/>
          <w:tab w:val="right" w:pos="9072"/>
        </w:tabs>
        <w:jc w:val="right"/>
        <w:rPr>
          <w:rFonts w:ascii="Arial" w:hAnsi="Arial" w:cs="Arial"/>
          <w:sz w:val="22"/>
          <w:szCs w:val="22"/>
          <w:lang w:eastAsia="en-US"/>
        </w:rPr>
      </w:pPr>
      <w:r w:rsidRPr="00FE7FBC">
        <w:rPr>
          <w:rFonts w:ascii="Arial" w:hAnsi="Arial" w:cs="Arial"/>
          <w:b/>
          <w:bCs/>
          <w:sz w:val="40"/>
          <w:szCs w:val="40"/>
          <w:lang w:eastAsia="en-US"/>
        </w:rPr>
        <w:t>DASV</w:t>
      </w:r>
    </w:p>
    <w:p w:rsidR="00FE7FBC" w:rsidRPr="00FE7FBC" w:rsidRDefault="00FE7FBC" w:rsidP="00FE7FBC">
      <w:pPr>
        <w:jc w:val="right"/>
        <w:rPr>
          <w:rFonts w:ascii="Arial" w:hAnsi="Arial" w:cs="Arial"/>
          <w:sz w:val="20"/>
          <w:szCs w:val="20"/>
          <w:lang w:eastAsia="en-US"/>
        </w:rPr>
      </w:pPr>
      <w:bookmarkStart w:id="0" w:name="2"/>
      <w:bookmarkStart w:id="1" w:name="9"/>
      <w:bookmarkEnd w:id="0"/>
      <w:bookmarkEnd w:id="1"/>
      <w:r w:rsidRPr="00FE7FBC">
        <w:rPr>
          <w:rFonts w:ascii="Arial" w:hAnsi="Arial" w:cs="Arial"/>
          <w:sz w:val="20"/>
          <w:szCs w:val="20"/>
          <w:lang w:eastAsia="en-US"/>
        </w:rPr>
        <w:t>Deutsche Anwalts- und</w:t>
      </w:r>
    </w:p>
    <w:p w:rsidR="00FE7FBC" w:rsidRPr="00FE7FBC" w:rsidRDefault="00FE7FBC" w:rsidP="00FE7FBC">
      <w:pPr>
        <w:jc w:val="right"/>
        <w:rPr>
          <w:rFonts w:ascii="Arial" w:hAnsi="Arial" w:cs="Arial"/>
          <w:sz w:val="20"/>
          <w:szCs w:val="20"/>
          <w:lang w:eastAsia="en-US"/>
        </w:rPr>
      </w:pPr>
      <w:r w:rsidRPr="00FE7FBC">
        <w:rPr>
          <w:rFonts w:ascii="Arial" w:hAnsi="Arial" w:cs="Arial"/>
          <w:sz w:val="20"/>
          <w:szCs w:val="20"/>
          <w:lang w:eastAsia="en-US"/>
        </w:rPr>
        <w:t>Steuerberatervereinigung</w:t>
      </w:r>
    </w:p>
    <w:p w:rsidR="00FE7FBC" w:rsidRPr="00FE7FBC" w:rsidRDefault="00FE7FBC" w:rsidP="00FE7FBC">
      <w:pPr>
        <w:jc w:val="right"/>
        <w:rPr>
          <w:rFonts w:ascii="Arial" w:hAnsi="Arial" w:cs="Arial"/>
          <w:sz w:val="20"/>
          <w:szCs w:val="20"/>
          <w:lang w:eastAsia="en-US"/>
        </w:rPr>
      </w:pPr>
      <w:r w:rsidRPr="00FE7FBC">
        <w:rPr>
          <w:rFonts w:ascii="Arial" w:hAnsi="Arial" w:cs="Arial"/>
          <w:sz w:val="20"/>
          <w:szCs w:val="20"/>
          <w:lang w:eastAsia="en-US"/>
        </w:rPr>
        <w:t>für die mittelständische</w:t>
      </w:r>
    </w:p>
    <w:p w:rsidR="00FE7FBC" w:rsidRPr="00FE7FBC" w:rsidRDefault="00FE7FBC" w:rsidP="00FE7FBC">
      <w:pPr>
        <w:spacing w:line="360" w:lineRule="auto"/>
        <w:jc w:val="right"/>
        <w:rPr>
          <w:rFonts w:ascii="Arial" w:hAnsi="Arial" w:cs="Arial"/>
          <w:sz w:val="20"/>
          <w:szCs w:val="20"/>
          <w:lang w:eastAsia="en-US"/>
        </w:rPr>
      </w:pPr>
      <w:r w:rsidRPr="00FE7FBC">
        <w:rPr>
          <w:rFonts w:ascii="Arial" w:hAnsi="Arial" w:cs="Arial"/>
          <w:sz w:val="20"/>
          <w:szCs w:val="20"/>
          <w:lang w:eastAsia="en-US"/>
        </w:rPr>
        <w:t>Wirtschaft e. V.</w:t>
      </w:r>
    </w:p>
    <w:p w:rsidR="00FE7FBC" w:rsidRPr="00FE7FBC" w:rsidRDefault="00FE7FBC" w:rsidP="00FE7FBC">
      <w:pPr>
        <w:jc w:val="center"/>
        <w:rPr>
          <w:rFonts w:ascii="Arial" w:eastAsia="Times New Roman" w:hAnsi="Arial" w:cs="Arial"/>
          <w:b/>
          <w:bCs/>
          <w:sz w:val="20"/>
          <w:szCs w:val="20"/>
        </w:rPr>
      </w:pPr>
    </w:p>
    <w:p w:rsidR="00FE7FBC" w:rsidRPr="00FE7FBC" w:rsidRDefault="00FE7FBC" w:rsidP="00FE7FBC">
      <w:pPr>
        <w:jc w:val="center"/>
        <w:rPr>
          <w:rFonts w:ascii="Arial" w:eastAsia="Times New Roman" w:hAnsi="Arial" w:cs="Arial"/>
          <w:b/>
          <w:bCs/>
          <w:sz w:val="20"/>
          <w:szCs w:val="20"/>
        </w:rPr>
      </w:pPr>
      <w:r w:rsidRPr="00FE7FBC">
        <w:rPr>
          <w:rFonts w:ascii="Arial" w:eastAsia="Times New Roman" w:hAnsi="Arial" w:cs="Arial"/>
          <w:b/>
          <w:bCs/>
          <w:sz w:val="20"/>
          <w:szCs w:val="20"/>
        </w:rPr>
        <w:t>10 Urteile, die Ihre Leser interessieren könnten</w:t>
      </w:r>
    </w:p>
    <w:p w:rsidR="00FE7FBC" w:rsidRPr="00FE7FBC" w:rsidRDefault="00FE7FBC" w:rsidP="00FE7FBC">
      <w:pPr>
        <w:jc w:val="both"/>
        <w:rPr>
          <w:rFonts w:ascii="Arial" w:eastAsia="Times New Roman" w:hAnsi="Arial" w:cs="Arial"/>
          <w:bCs/>
          <w:sz w:val="20"/>
          <w:szCs w:val="20"/>
        </w:rPr>
      </w:pPr>
    </w:p>
    <w:p w:rsidR="00FE7FBC" w:rsidRPr="00FE7FBC" w:rsidRDefault="00FE7FBC" w:rsidP="00FE7FBC">
      <w:pPr>
        <w:jc w:val="center"/>
        <w:rPr>
          <w:rFonts w:ascii="Arial" w:eastAsia="Times New Roman" w:hAnsi="Arial" w:cs="Arial"/>
          <w:sz w:val="20"/>
          <w:szCs w:val="20"/>
        </w:rPr>
      </w:pPr>
      <w:r w:rsidRPr="00FE7FBC">
        <w:rPr>
          <w:rFonts w:ascii="Arial" w:eastAsia="Times New Roman" w:hAnsi="Arial" w:cs="Arial"/>
          <w:sz w:val="20"/>
          <w:szCs w:val="20"/>
        </w:rPr>
        <w:t>zusammengestellt von Rechtsanwalt/Fachanwalt für Arbeitsrecht u. Fachanwalt für Erbrecht</w:t>
      </w:r>
    </w:p>
    <w:p w:rsidR="00FE7FBC" w:rsidRPr="00FE7FBC" w:rsidRDefault="00FE7FBC" w:rsidP="00FE7FBC">
      <w:pPr>
        <w:ind w:right="540"/>
        <w:jc w:val="center"/>
        <w:rPr>
          <w:rFonts w:ascii="Arial" w:eastAsia="Times New Roman" w:hAnsi="Arial" w:cs="Arial"/>
          <w:bCs/>
          <w:sz w:val="20"/>
          <w:szCs w:val="20"/>
        </w:rPr>
      </w:pPr>
      <w:r w:rsidRPr="00FE7FBC">
        <w:rPr>
          <w:rFonts w:ascii="Arial" w:eastAsia="Times New Roman" w:hAnsi="Arial" w:cs="Arial"/>
          <w:bCs/>
          <w:sz w:val="20"/>
          <w:szCs w:val="20"/>
        </w:rPr>
        <w:t>Michael Henn, Stuttgart</w:t>
      </w:r>
    </w:p>
    <w:p w:rsidR="00FE7FBC" w:rsidRPr="00FE7FBC" w:rsidRDefault="00FE7FBC" w:rsidP="00FE7FBC">
      <w:pPr>
        <w:rPr>
          <w:rFonts w:ascii="Arial" w:hAnsi="Arial" w:cs="Arial"/>
          <w:sz w:val="20"/>
          <w:szCs w:val="20"/>
          <w:lang w:eastAsia="en-US"/>
        </w:rPr>
      </w:pPr>
    </w:p>
    <w:p w:rsidR="00DE2F90" w:rsidRDefault="00FE7FBC" w:rsidP="00FE7FBC">
      <w:pPr>
        <w:jc w:val="center"/>
        <w:rPr>
          <w:rFonts w:ascii="Arial" w:hAnsi="Arial" w:cs="Arial"/>
          <w:b/>
          <w:sz w:val="20"/>
        </w:rPr>
      </w:pPr>
      <w:r w:rsidRPr="00FE7FBC">
        <w:rPr>
          <w:rFonts w:ascii="Arial" w:hAnsi="Arial" w:cs="Arial"/>
          <w:b/>
          <w:sz w:val="20"/>
        </w:rPr>
        <w:t>I.</w:t>
      </w:r>
    </w:p>
    <w:p w:rsidR="00FE7FBC" w:rsidRDefault="00FE7FBC" w:rsidP="00FE7FBC">
      <w:pPr>
        <w:jc w:val="center"/>
        <w:rPr>
          <w:rFonts w:ascii="Arial" w:hAnsi="Arial" w:cs="Arial"/>
          <w:b/>
          <w:sz w:val="20"/>
        </w:rPr>
      </w:pPr>
      <w:r w:rsidRPr="00FE7FBC">
        <w:rPr>
          <w:rFonts w:ascii="Arial" w:hAnsi="Arial" w:cs="Arial"/>
          <w:b/>
          <w:sz w:val="20"/>
        </w:rPr>
        <w:t>Wirksamkeit formularmäßiger Vergütungsvereinbarungen</w:t>
      </w:r>
    </w:p>
    <w:p w:rsidR="00FE7FBC" w:rsidRPr="00FE7FBC" w:rsidRDefault="00FE7FBC" w:rsidP="00FE7FBC">
      <w:pPr>
        <w:jc w:val="center"/>
        <w:rPr>
          <w:rFonts w:ascii="Arial" w:hAnsi="Arial" w:cs="Arial"/>
          <w:sz w:val="20"/>
        </w:rPr>
      </w:pPr>
      <w:r>
        <w:rPr>
          <w:rFonts w:ascii="Arial" w:hAnsi="Arial" w:cs="Arial"/>
          <w:sz w:val="20"/>
        </w:rPr>
        <w:t xml:space="preserve">BGH, </w:t>
      </w:r>
      <w:r w:rsidRPr="00FE7FBC">
        <w:rPr>
          <w:rFonts w:ascii="Arial" w:hAnsi="Arial" w:cs="Arial"/>
          <w:sz w:val="20"/>
        </w:rPr>
        <w:t>Urteil vom 13.02.2020, Az</w:t>
      </w:r>
      <w:r>
        <w:rPr>
          <w:rFonts w:ascii="Arial" w:hAnsi="Arial" w:cs="Arial"/>
          <w:sz w:val="20"/>
        </w:rPr>
        <w:t>.</w:t>
      </w:r>
      <w:r w:rsidRPr="00FE7FBC">
        <w:rPr>
          <w:rFonts w:ascii="Arial" w:hAnsi="Arial" w:cs="Arial"/>
          <w:sz w:val="20"/>
        </w:rPr>
        <w:t xml:space="preserve"> IX ZR 140/19</w:t>
      </w:r>
    </w:p>
    <w:p w:rsidR="00FE7FBC" w:rsidRPr="00FE7FBC" w:rsidRDefault="00FE7FBC" w:rsidP="00FE7FBC">
      <w:pPr>
        <w:jc w:val="both"/>
        <w:rPr>
          <w:rFonts w:ascii="Arial" w:hAnsi="Arial" w:cs="Arial"/>
          <w:sz w:val="20"/>
        </w:rPr>
      </w:pPr>
    </w:p>
    <w:p w:rsidR="00FE7FBC" w:rsidRPr="00FE7FBC" w:rsidRDefault="00FE7FBC" w:rsidP="00FE7FBC">
      <w:pPr>
        <w:jc w:val="both"/>
        <w:rPr>
          <w:rFonts w:ascii="Arial" w:hAnsi="Arial" w:cs="Arial"/>
          <w:sz w:val="20"/>
        </w:rPr>
      </w:pPr>
      <w:r w:rsidRPr="00FE7FBC">
        <w:rPr>
          <w:rFonts w:ascii="Arial" w:hAnsi="Arial" w:cs="Arial"/>
          <w:sz w:val="20"/>
        </w:rPr>
        <w:t>Eine formularmäßige Vergütungsvereinbarung, welche eine Mindestvergütung des Rechtsanwalts in Höhe des Dreifachen der gesetzlichen Vergütung vorsieht, ist jedenfalls im Rechtsverkehr mit Verbrauchern wegen unangemessener Benachteiligung des Mandanten unwirksam, wenn das Mandat die Kündigung des Arbeitsverhältnisses des Mandanten betrifft und die Vergütungsvereinbarung zusätzlich eine Erhöhung des Gegenstandswertes um die Abfindung vorsieht.</w:t>
      </w:r>
    </w:p>
    <w:p w:rsidR="00FE7FBC" w:rsidRPr="00FE7FBC" w:rsidRDefault="00FE7FBC" w:rsidP="00FE7FBC">
      <w:pPr>
        <w:jc w:val="both"/>
        <w:rPr>
          <w:rFonts w:ascii="Arial" w:hAnsi="Arial" w:cs="Arial"/>
          <w:sz w:val="20"/>
        </w:rPr>
      </w:pPr>
      <w:r w:rsidRPr="00FE7FBC">
        <w:rPr>
          <w:rFonts w:ascii="Arial" w:hAnsi="Arial" w:cs="Arial"/>
          <w:sz w:val="20"/>
        </w:rPr>
        <w:t xml:space="preserve">BGB § 307 Abs. 1 , Abs. 2 Nr. 1 </w:t>
      </w:r>
      <w:proofErr w:type="spellStart"/>
      <w:r w:rsidRPr="00FE7FBC">
        <w:rPr>
          <w:rFonts w:ascii="Arial" w:hAnsi="Arial" w:cs="Arial"/>
          <w:sz w:val="20"/>
        </w:rPr>
        <w:t>Cb</w:t>
      </w:r>
      <w:proofErr w:type="spellEnd"/>
      <w:r w:rsidRPr="00FE7FBC">
        <w:rPr>
          <w:rFonts w:ascii="Arial" w:hAnsi="Arial" w:cs="Arial"/>
          <w:sz w:val="20"/>
        </w:rPr>
        <w:t>, § 675</w:t>
      </w:r>
      <w:r>
        <w:rPr>
          <w:rFonts w:ascii="Arial" w:hAnsi="Arial" w:cs="Arial"/>
          <w:sz w:val="20"/>
        </w:rPr>
        <w:t xml:space="preserve"> </w:t>
      </w:r>
      <w:r w:rsidRPr="00FE7FBC">
        <w:rPr>
          <w:rFonts w:ascii="Arial" w:hAnsi="Arial" w:cs="Arial"/>
          <w:sz w:val="20"/>
        </w:rPr>
        <w:t>RVG § 3a</w:t>
      </w:r>
    </w:p>
    <w:p w:rsidR="00FE7FBC" w:rsidRPr="00FE7FBC" w:rsidRDefault="00FE7FBC" w:rsidP="00FE7FBC">
      <w:pPr>
        <w:jc w:val="both"/>
        <w:rPr>
          <w:rFonts w:ascii="Arial" w:hAnsi="Arial" w:cs="Arial"/>
          <w:sz w:val="20"/>
        </w:rPr>
      </w:pPr>
      <w:r w:rsidRPr="00FE7FBC">
        <w:rPr>
          <w:rFonts w:ascii="Arial" w:hAnsi="Arial" w:cs="Arial"/>
          <w:sz w:val="20"/>
        </w:rPr>
        <w:t>Die formularmäßige Vereinbarung eines Zeithonorars, welche den Rechtsanwalt berechtigt, für angefangene 15 Minuten jeweils ein Viertel des Stundensatzes zu berechnen, benachteiligt den Mandanten jedenfalls im Rechtsverkehr mit Verbrauchern entgegen den Geboten von Treu und Glauben unangemessen.</w:t>
      </w:r>
    </w:p>
    <w:p w:rsidR="00FE7FBC" w:rsidRPr="00FE7FBC" w:rsidRDefault="00FE7FBC" w:rsidP="00FE7FBC">
      <w:pPr>
        <w:jc w:val="both"/>
        <w:rPr>
          <w:rFonts w:ascii="Arial" w:hAnsi="Arial" w:cs="Arial"/>
          <w:sz w:val="20"/>
        </w:rPr>
      </w:pPr>
      <w:r w:rsidRPr="00FE7FBC">
        <w:rPr>
          <w:rFonts w:ascii="Arial" w:hAnsi="Arial" w:cs="Arial"/>
          <w:sz w:val="20"/>
        </w:rPr>
        <w:t>RVG § 4 Abs. 3 Satz 2</w:t>
      </w:r>
    </w:p>
    <w:p w:rsidR="00FD03ED" w:rsidRPr="00FE7FBC" w:rsidRDefault="00FE7FBC" w:rsidP="00FE7FBC">
      <w:pPr>
        <w:jc w:val="both"/>
        <w:rPr>
          <w:rFonts w:ascii="Arial" w:hAnsi="Arial" w:cs="Arial"/>
          <w:sz w:val="20"/>
        </w:rPr>
      </w:pPr>
      <w:r w:rsidRPr="00FE7FBC">
        <w:rPr>
          <w:rFonts w:ascii="Arial" w:hAnsi="Arial" w:cs="Arial"/>
          <w:sz w:val="20"/>
        </w:rPr>
        <w:t>Sieht eine Vergütungsvereinbarung ein Zeithonorar für Sekretariatstätigkeiten vor und eröffnet sie dem Rechtsanwalt die an keine Voraussetzungen gebundene Möglichkeit, statt des tatsächlichen Aufwandes pauschal 15 Minuten pro Stunde abgerechneter Anwaltstätigkeit abzurechnen, gilt insoweit die gesetzliche Vergütung als vereinbart.</w:t>
      </w:r>
    </w:p>
    <w:p w:rsidR="00FD03ED" w:rsidRPr="00FE7FBC" w:rsidRDefault="00FD03ED" w:rsidP="00FE7FBC">
      <w:pPr>
        <w:rPr>
          <w:rFonts w:ascii="Arial" w:hAnsi="Arial" w:cs="Arial"/>
          <w:sz w:val="20"/>
        </w:rPr>
      </w:pPr>
    </w:p>
    <w:p w:rsidR="00FD03ED" w:rsidRDefault="00FE7FBC" w:rsidP="00FE7FBC">
      <w:pPr>
        <w:jc w:val="center"/>
        <w:rPr>
          <w:rFonts w:ascii="Arial" w:hAnsi="Arial" w:cs="Arial"/>
          <w:b/>
          <w:sz w:val="20"/>
        </w:rPr>
      </w:pPr>
      <w:r w:rsidRPr="00FE7FBC">
        <w:rPr>
          <w:rFonts w:ascii="Arial" w:hAnsi="Arial" w:cs="Arial"/>
          <w:b/>
          <w:sz w:val="20"/>
        </w:rPr>
        <w:t>II.</w:t>
      </w:r>
    </w:p>
    <w:p w:rsidR="00FE7FBC" w:rsidRPr="00FE7FBC" w:rsidRDefault="00FE7FBC" w:rsidP="00FE7FBC">
      <w:pPr>
        <w:jc w:val="center"/>
        <w:rPr>
          <w:rFonts w:ascii="Arial" w:hAnsi="Arial" w:cs="Arial"/>
          <w:b/>
          <w:bCs/>
          <w:sz w:val="20"/>
        </w:rPr>
      </w:pPr>
      <w:r w:rsidRPr="00FE7FBC">
        <w:rPr>
          <w:rFonts w:ascii="Arial" w:hAnsi="Arial" w:cs="Arial"/>
          <w:b/>
          <w:bCs/>
          <w:sz w:val="20"/>
        </w:rPr>
        <w:t>Rückgewähr von Gesellschafterdarlehen</w:t>
      </w:r>
    </w:p>
    <w:p w:rsidR="00FE7FBC" w:rsidRPr="00FE7FBC" w:rsidRDefault="00FE7FBC" w:rsidP="00FE7FBC">
      <w:pPr>
        <w:jc w:val="center"/>
        <w:rPr>
          <w:rFonts w:ascii="Arial" w:hAnsi="Arial" w:cs="Arial"/>
          <w:sz w:val="20"/>
        </w:rPr>
      </w:pPr>
      <w:r>
        <w:rPr>
          <w:rFonts w:ascii="Arial" w:hAnsi="Arial" w:cs="Arial"/>
          <w:sz w:val="20"/>
        </w:rPr>
        <w:t xml:space="preserve">BGH, </w:t>
      </w:r>
      <w:r w:rsidRPr="00FE7FBC">
        <w:rPr>
          <w:rFonts w:ascii="Arial" w:hAnsi="Arial" w:cs="Arial"/>
          <w:sz w:val="20"/>
        </w:rPr>
        <w:t>Urteil vom 27.02.2020, Az</w:t>
      </w:r>
      <w:r>
        <w:rPr>
          <w:rFonts w:ascii="Arial" w:hAnsi="Arial" w:cs="Arial"/>
          <w:sz w:val="20"/>
        </w:rPr>
        <w:t>.</w:t>
      </w:r>
      <w:r w:rsidRPr="00FE7FBC">
        <w:rPr>
          <w:rFonts w:ascii="Arial" w:hAnsi="Arial" w:cs="Arial"/>
          <w:sz w:val="20"/>
        </w:rPr>
        <w:t xml:space="preserve"> IX ZR 337/18</w:t>
      </w:r>
    </w:p>
    <w:p w:rsidR="00FE7FBC" w:rsidRPr="00FE7FBC" w:rsidRDefault="00FE7FBC" w:rsidP="00FE7FBC">
      <w:pPr>
        <w:jc w:val="center"/>
        <w:rPr>
          <w:rFonts w:ascii="Arial" w:hAnsi="Arial" w:cs="Arial"/>
          <w:sz w:val="20"/>
        </w:rPr>
      </w:pPr>
    </w:p>
    <w:p w:rsidR="00FE7FBC" w:rsidRPr="00FE7FBC" w:rsidRDefault="00FE7FBC" w:rsidP="00FE7FBC">
      <w:pPr>
        <w:jc w:val="both"/>
        <w:rPr>
          <w:rFonts w:ascii="Arial" w:hAnsi="Arial" w:cs="Arial"/>
          <w:sz w:val="20"/>
        </w:rPr>
      </w:pPr>
      <w:r w:rsidRPr="00FE7FBC">
        <w:rPr>
          <w:rFonts w:ascii="Arial" w:hAnsi="Arial" w:cs="Arial"/>
          <w:sz w:val="20"/>
        </w:rPr>
        <w:t>Gewährt ein außenstehender Dritter einem Gesellschafter der späteren Insolvenzschuldnerin und dessen Ehefrau ein Darlehen, welches der Gesellschafter zur Gewährung eines Darlehens an die Gesellschaft verwendet, ist die Rückzahlung des Darlehens an den Dritten durch die Gesellschaft dem Dritten gegenüber nicht als Rückgewähr eines Gesellschafterdarlehens anfechtbar.</w:t>
      </w:r>
    </w:p>
    <w:p w:rsidR="00FE7FBC" w:rsidRPr="00FE7FBC" w:rsidRDefault="00FE7FBC" w:rsidP="00FE7FBC">
      <w:pPr>
        <w:rPr>
          <w:rFonts w:ascii="Arial" w:hAnsi="Arial" w:cs="Arial"/>
          <w:sz w:val="20"/>
        </w:rPr>
      </w:pPr>
    </w:p>
    <w:p w:rsidR="00FD03ED" w:rsidRDefault="00017B0E" w:rsidP="00017B0E">
      <w:pPr>
        <w:jc w:val="center"/>
        <w:rPr>
          <w:rFonts w:ascii="Arial" w:hAnsi="Arial" w:cs="Arial"/>
          <w:b/>
          <w:sz w:val="20"/>
        </w:rPr>
      </w:pPr>
      <w:r w:rsidRPr="00017B0E">
        <w:rPr>
          <w:rFonts w:ascii="Arial" w:hAnsi="Arial" w:cs="Arial"/>
          <w:b/>
          <w:sz w:val="20"/>
        </w:rPr>
        <w:t>III.</w:t>
      </w:r>
    </w:p>
    <w:p w:rsidR="00017B0E" w:rsidRPr="00017B0E" w:rsidRDefault="00017B0E" w:rsidP="00017B0E">
      <w:pPr>
        <w:jc w:val="center"/>
        <w:rPr>
          <w:rFonts w:ascii="Arial" w:hAnsi="Arial" w:cs="Arial"/>
          <w:b/>
          <w:bCs/>
          <w:sz w:val="20"/>
        </w:rPr>
      </w:pPr>
      <w:r w:rsidRPr="00017B0E">
        <w:rPr>
          <w:rFonts w:ascii="Arial" w:hAnsi="Arial" w:cs="Arial"/>
          <w:b/>
          <w:bCs/>
          <w:sz w:val="20"/>
        </w:rPr>
        <w:t>Unwirksame Klausel zur Abtretung an den Kfz-Sachverständigen</w:t>
      </w:r>
    </w:p>
    <w:p w:rsidR="00017B0E" w:rsidRPr="00017B0E" w:rsidRDefault="00017B0E" w:rsidP="00017B0E">
      <w:pPr>
        <w:jc w:val="center"/>
        <w:rPr>
          <w:rFonts w:ascii="Arial" w:hAnsi="Arial" w:cs="Arial"/>
          <w:sz w:val="20"/>
        </w:rPr>
      </w:pPr>
      <w:r w:rsidRPr="00017B0E">
        <w:rPr>
          <w:rFonts w:ascii="Arial" w:hAnsi="Arial" w:cs="Arial"/>
          <w:sz w:val="20"/>
        </w:rPr>
        <w:t>BGH, Urt</w:t>
      </w:r>
      <w:r>
        <w:rPr>
          <w:rFonts w:ascii="Arial" w:hAnsi="Arial" w:cs="Arial"/>
          <w:sz w:val="20"/>
        </w:rPr>
        <w:t>eil vom 18.02.2020, Az.</w:t>
      </w:r>
      <w:r w:rsidRPr="00017B0E">
        <w:rPr>
          <w:rFonts w:ascii="Arial" w:hAnsi="Arial" w:cs="Arial"/>
          <w:sz w:val="20"/>
        </w:rPr>
        <w:t xml:space="preserve"> VI ZR 135/19</w:t>
      </w:r>
    </w:p>
    <w:p w:rsidR="00017B0E" w:rsidRPr="00017B0E" w:rsidRDefault="00017B0E" w:rsidP="00017B0E">
      <w:pPr>
        <w:jc w:val="center"/>
        <w:rPr>
          <w:rFonts w:ascii="Arial" w:hAnsi="Arial" w:cs="Arial"/>
          <w:b/>
          <w:sz w:val="20"/>
        </w:rPr>
      </w:pPr>
    </w:p>
    <w:p w:rsidR="00296057" w:rsidRDefault="00296057" w:rsidP="00FE7FBC">
      <w:pPr>
        <w:rPr>
          <w:rFonts w:ascii="Arial" w:hAnsi="Arial" w:cs="Arial"/>
          <w:sz w:val="20"/>
        </w:rPr>
      </w:pPr>
    </w:p>
    <w:p w:rsidR="00296057" w:rsidRPr="00017B0E" w:rsidRDefault="00296057" w:rsidP="00017B0E">
      <w:pPr>
        <w:jc w:val="both"/>
        <w:rPr>
          <w:rFonts w:ascii="Arial" w:hAnsi="Arial" w:cs="Arial"/>
          <w:sz w:val="20"/>
          <w:szCs w:val="21"/>
        </w:rPr>
      </w:pPr>
      <w:r w:rsidRPr="00017B0E">
        <w:rPr>
          <w:rFonts w:ascii="Arial" w:hAnsi="Arial" w:cs="Arial"/>
          <w:sz w:val="20"/>
          <w:szCs w:val="21"/>
        </w:rPr>
        <w:t>Die in einem Vertrag über die Erstellung eines Kfz-Schadensgutachtens enthaltene formularmäßige Klausel, nach der der geschädigte Auftraggeber dem Sachverständigen in Bezug auf dessen Honoraranspruch "erfüllungshalber" seinen auf Ersatz der Sachverständigenkosten gerichteten Schadensersatzanspruch gegen den Schädiger abtritt, ist wegen Verstoßes gegen das Transparenzgebot aus § 307 Abs. 1 Satz 2 BGB unwirksam, wenn die Klausel zugleich die Regelung enthält</w:t>
      </w:r>
    </w:p>
    <w:p w:rsidR="00FD03ED" w:rsidRPr="00017B0E" w:rsidRDefault="00296057" w:rsidP="00017B0E">
      <w:pPr>
        <w:jc w:val="both"/>
        <w:rPr>
          <w:rFonts w:ascii="Arial" w:hAnsi="Arial" w:cs="Arial"/>
          <w:sz w:val="18"/>
        </w:rPr>
      </w:pPr>
      <w:r w:rsidRPr="00017B0E">
        <w:rPr>
          <w:rFonts w:ascii="Arial" w:eastAsia="Times New Roman" w:hAnsi="Arial" w:cs="Arial"/>
          <w:sz w:val="20"/>
          <w:szCs w:val="21"/>
        </w:rPr>
        <w:t>"Das Sachverständigenbüro kann die Ansprüche gegen mich [geschädigter Auftraggeber] geltend machen, wenn und soweit der regulierungspflichtige Versicherer keine Zahlung oder lediglich eine Teilzahlung leistet. In diesem Fall erhalte ich die Forderung zurück, um sie selbst gegen</w:t>
      </w:r>
      <w:r w:rsidR="00017B0E">
        <w:rPr>
          <w:rFonts w:ascii="Arial" w:eastAsia="Times New Roman" w:hAnsi="Arial" w:cs="Arial"/>
          <w:sz w:val="20"/>
          <w:szCs w:val="21"/>
        </w:rPr>
        <w:t xml:space="preserve"> </w:t>
      </w:r>
      <w:r w:rsidRPr="00017B0E">
        <w:rPr>
          <w:rFonts w:ascii="Arial" w:eastAsia="Times New Roman" w:hAnsi="Arial" w:cs="Arial"/>
          <w:sz w:val="20"/>
          <w:szCs w:val="21"/>
        </w:rPr>
        <w:t>die Anspruchsgegner durchzusetzen."</w:t>
      </w:r>
    </w:p>
    <w:p w:rsidR="00273491" w:rsidRDefault="00273491">
      <w:pPr>
        <w:spacing w:after="160" w:line="259" w:lineRule="auto"/>
        <w:rPr>
          <w:rFonts w:ascii="Arial" w:hAnsi="Arial" w:cs="Arial"/>
          <w:sz w:val="20"/>
        </w:rPr>
      </w:pPr>
      <w:r>
        <w:rPr>
          <w:rFonts w:ascii="Arial" w:hAnsi="Arial" w:cs="Arial"/>
          <w:sz w:val="20"/>
        </w:rPr>
        <w:br w:type="page"/>
      </w:r>
    </w:p>
    <w:p w:rsidR="00FD03ED" w:rsidRPr="00FE7FBC" w:rsidRDefault="00FD03ED" w:rsidP="00FE7FBC">
      <w:pPr>
        <w:rPr>
          <w:rFonts w:ascii="Arial" w:hAnsi="Arial" w:cs="Arial"/>
          <w:sz w:val="20"/>
        </w:rPr>
      </w:pPr>
    </w:p>
    <w:p w:rsidR="00FD03ED" w:rsidRDefault="00017B0E" w:rsidP="00017B0E">
      <w:pPr>
        <w:jc w:val="center"/>
        <w:rPr>
          <w:rFonts w:ascii="Arial" w:hAnsi="Arial" w:cs="Arial"/>
          <w:b/>
          <w:sz w:val="20"/>
        </w:rPr>
      </w:pPr>
      <w:r w:rsidRPr="00017B0E">
        <w:rPr>
          <w:rFonts w:ascii="Arial" w:hAnsi="Arial" w:cs="Arial"/>
          <w:b/>
          <w:sz w:val="20"/>
        </w:rPr>
        <w:t>IV.</w:t>
      </w:r>
    </w:p>
    <w:p w:rsidR="00017B0E" w:rsidRPr="00017B0E" w:rsidRDefault="00017B0E" w:rsidP="00017B0E">
      <w:pPr>
        <w:jc w:val="center"/>
        <w:rPr>
          <w:rFonts w:ascii="Arial" w:hAnsi="Arial" w:cs="Arial"/>
          <w:bCs/>
          <w:sz w:val="20"/>
        </w:rPr>
      </w:pPr>
      <w:r w:rsidRPr="00017B0E">
        <w:rPr>
          <w:rFonts w:ascii="Arial" w:hAnsi="Arial" w:cs="Arial"/>
          <w:bCs/>
          <w:sz w:val="20"/>
        </w:rPr>
        <w:t>B</w:t>
      </w:r>
      <w:r>
        <w:rPr>
          <w:rFonts w:ascii="Arial" w:hAnsi="Arial" w:cs="Arial"/>
          <w:bCs/>
          <w:sz w:val="20"/>
        </w:rPr>
        <w:t>GH</w:t>
      </w:r>
      <w:r w:rsidRPr="00017B0E">
        <w:rPr>
          <w:rFonts w:ascii="Arial" w:hAnsi="Arial" w:cs="Arial"/>
          <w:bCs/>
          <w:sz w:val="20"/>
        </w:rPr>
        <w:t>, Urteil vom 28.Januar 2020</w:t>
      </w:r>
      <w:r>
        <w:rPr>
          <w:rFonts w:ascii="Arial" w:hAnsi="Arial" w:cs="Arial"/>
          <w:bCs/>
          <w:sz w:val="20"/>
        </w:rPr>
        <w:t xml:space="preserve">, Az. </w:t>
      </w:r>
      <w:r w:rsidRPr="00017B0E">
        <w:rPr>
          <w:rFonts w:ascii="Arial" w:hAnsi="Arial" w:cs="Arial"/>
          <w:bCs/>
          <w:sz w:val="20"/>
        </w:rPr>
        <w:t xml:space="preserve">II ZR 10/19, </w:t>
      </w:r>
    </w:p>
    <w:p w:rsidR="00296057" w:rsidRDefault="00296057" w:rsidP="00296057">
      <w:pPr>
        <w:jc w:val="both"/>
        <w:rPr>
          <w:rFonts w:ascii="Arial" w:hAnsi="Arial" w:cs="Arial"/>
          <w:color w:val="002060"/>
          <w:sz w:val="20"/>
          <w:szCs w:val="20"/>
        </w:rPr>
      </w:pPr>
    </w:p>
    <w:p w:rsidR="00296057" w:rsidRPr="00017B0E" w:rsidRDefault="00296057" w:rsidP="00296057">
      <w:pPr>
        <w:jc w:val="both"/>
        <w:rPr>
          <w:rFonts w:ascii="Arial" w:hAnsi="Arial" w:cs="Arial"/>
          <w:sz w:val="20"/>
          <w:szCs w:val="20"/>
        </w:rPr>
      </w:pPr>
      <w:r w:rsidRPr="00017B0E">
        <w:rPr>
          <w:rFonts w:ascii="Arial" w:hAnsi="Arial" w:cs="Arial"/>
          <w:sz w:val="20"/>
          <w:szCs w:val="20"/>
        </w:rPr>
        <w:t>a)</w:t>
      </w:r>
      <w:r w:rsidR="00017B0E" w:rsidRPr="00017B0E">
        <w:rPr>
          <w:rFonts w:ascii="Arial" w:hAnsi="Arial" w:cs="Arial"/>
          <w:sz w:val="20"/>
          <w:szCs w:val="20"/>
        </w:rPr>
        <w:t xml:space="preserve"> </w:t>
      </w:r>
      <w:r w:rsidRPr="00017B0E">
        <w:rPr>
          <w:rFonts w:ascii="Arial" w:hAnsi="Arial" w:cs="Arial"/>
          <w:sz w:val="20"/>
          <w:szCs w:val="20"/>
        </w:rPr>
        <w:t>Die Abfindungsforderung eines vor der Insolvenz ausgeschiedenen Gesellschafters einer GmbH</w:t>
      </w:r>
      <w:r w:rsidR="00017B0E" w:rsidRPr="00017B0E">
        <w:rPr>
          <w:rFonts w:ascii="Arial" w:hAnsi="Arial" w:cs="Arial"/>
          <w:sz w:val="20"/>
          <w:szCs w:val="20"/>
        </w:rPr>
        <w:t xml:space="preserve"> </w:t>
      </w:r>
      <w:r w:rsidRPr="00017B0E">
        <w:rPr>
          <w:rFonts w:ascii="Arial" w:hAnsi="Arial" w:cs="Arial"/>
          <w:sz w:val="20"/>
          <w:szCs w:val="20"/>
        </w:rPr>
        <w:t>&amp;</w:t>
      </w:r>
      <w:r w:rsidR="00017B0E">
        <w:rPr>
          <w:rFonts w:ascii="Arial" w:hAnsi="Arial" w:cs="Arial"/>
          <w:sz w:val="20"/>
          <w:szCs w:val="20"/>
        </w:rPr>
        <w:t xml:space="preserve"> </w:t>
      </w:r>
      <w:r w:rsidRPr="00017B0E">
        <w:rPr>
          <w:rFonts w:ascii="Arial" w:hAnsi="Arial" w:cs="Arial"/>
          <w:sz w:val="20"/>
          <w:szCs w:val="20"/>
        </w:rPr>
        <w:t>Co. KG, deren Auszahlung gegen das Kapitalerhaltungsgebot der §§30, 31 GmbHG analog verstoßen würde, ist erst bei der Schlussverteilung nach §199 InsO zu berücksichtigen.</w:t>
      </w:r>
    </w:p>
    <w:p w:rsidR="00296057" w:rsidRPr="00017B0E" w:rsidRDefault="00296057" w:rsidP="00296057">
      <w:pPr>
        <w:jc w:val="both"/>
        <w:rPr>
          <w:rFonts w:ascii="Arial" w:hAnsi="Arial" w:cs="Arial"/>
          <w:sz w:val="20"/>
          <w:szCs w:val="20"/>
        </w:rPr>
      </w:pPr>
    </w:p>
    <w:p w:rsidR="00296057" w:rsidRPr="00017B0E" w:rsidRDefault="00296057" w:rsidP="00296057">
      <w:pPr>
        <w:jc w:val="both"/>
        <w:rPr>
          <w:rFonts w:ascii="Arial" w:hAnsi="Arial" w:cs="Arial"/>
          <w:sz w:val="20"/>
          <w:szCs w:val="20"/>
        </w:rPr>
      </w:pPr>
      <w:r w:rsidRPr="00017B0E">
        <w:rPr>
          <w:rFonts w:ascii="Arial" w:hAnsi="Arial" w:cs="Arial"/>
          <w:sz w:val="20"/>
          <w:szCs w:val="20"/>
        </w:rPr>
        <w:t>b)</w:t>
      </w:r>
      <w:r w:rsidR="00017B0E" w:rsidRPr="00017B0E">
        <w:rPr>
          <w:rFonts w:ascii="Arial" w:hAnsi="Arial" w:cs="Arial"/>
          <w:sz w:val="20"/>
          <w:szCs w:val="20"/>
        </w:rPr>
        <w:t xml:space="preserve"> </w:t>
      </w:r>
      <w:r w:rsidRPr="00017B0E">
        <w:rPr>
          <w:rFonts w:ascii="Arial" w:hAnsi="Arial" w:cs="Arial"/>
          <w:sz w:val="20"/>
          <w:szCs w:val="20"/>
        </w:rPr>
        <w:t>§30 Abs.1 GmbHG steht einer Auszahlung der Abfindungsforderung auch dann entgegen, wenn die Abfindung zum Zeitpunkt des Ausscheidens und auch noch ein Jahr danach aus dem freien Vermögen der Gesellschaft hätte bedient werden können. §135 Abs.1 Nr.2 InsO ist insoweit nicht entsprechend anwendbar.</w:t>
      </w:r>
    </w:p>
    <w:p w:rsidR="00296057" w:rsidRDefault="00296057" w:rsidP="00FE7FBC">
      <w:pPr>
        <w:rPr>
          <w:rFonts w:ascii="Arial" w:hAnsi="Arial" w:cs="Arial"/>
          <w:sz w:val="20"/>
        </w:rPr>
      </w:pPr>
    </w:p>
    <w:p w:rsidR="00017B0E" w:rsidRDefault="00017B0E" w:rsidP="00017B0E">
      <w:pPr>
        <w:jc w:val="center"/>
        <w:rPr>
          <w:rFonts w:ascii="Arial" w:hAnsi="Arial" w:cs="Arial"/>
          <w:b/>
          <w:sz w:val="20"/>
        </w:rPr>
      </w:pPr>
      <w:r w:rsidRPr="00017B0E">
        <w:rPr>
          <w:rFonts w:ascii="Arial" w:hAnsi="Arial" w:cs="Arial"/>
          <w:b/>
          <w:sz w:val="20"/>
        </w:rPr>
        <w:t>V.</w:t>
      </w:r>
    </w:p>
    <w:p w:rsidR="00017B0E" w:rsidRPr="00017B0E" w:rsidRDefault="00017B0E" w:rsidP="00017B0E">
      <w:pPr>
        <w:jc w:val="center"/>
        <w:rPr>
          <w:rFonts w:ascii="Arial" w:hAnsi="Arial" w:cs="Arial"/>
          <w:b/>
          <w:bCs/>
          <w:sz w:val="20"/>
        </w:rPr>
      </w:pPr>
      <w:r w:rsidRPr="00017B0E">
        <w:rPr>
          <w:rFonts w:ascii="Arial" w:hAnsi="Arial" w:cs="Arial"/>
          <w:b/>
          <w:bCs/>
          <w:sz w:val="20"/>
        </w:rPr>
        <w:t>Entschädigung nach dem Allgemeinen Gleichbehandlungsgesetz; Schwerbehinderter; Offenbarungspflicht</w:t>
      </w:r>
    </w:p>
    <w:p w:rsidR="00017B0E" w:rsidRPr="00017B0E" w:rsidRDefault="00017B0E" w:rsidP="00017B0E">
      <w:pPr>
        <w:jc w:val="center"/>
        <w:rPr>
          <w:rFonts w:ascii="Arial" w:hAnsi="Arial" w:cs="Arial"/>
          <w:bCs/>
          <w:sz w:val="20"/>
        </w:rPr>
      </w:pPr>
      <w:r w:rsidRPr="00017B0E">
        <w:rPr>
          <w:rFonts w:ascii="Arial" w:hAnsi="Arial" w:cs="Arial"/>
          <w:bCs/>
          <w:sz w:val="20"/>
        </w:rPr>
        <w:t>Verwaltungsgericht Gera, Urteil vom 20.01.2020 , Az. 1 K 2039/18</w:t>
      </w:r>
    </w:p>
    <w:p w:rsidR="00017B0E" w:rsidRPr="00017B0E" w:rsidRDefault="00017B0E" w:rsidP="00017B0E">
      <w:pPr>
        <w:jc w:val="center"/>
        <w:rPr>
          <w:rFonts w:ascii="Arial" w:hAnsi="Arial" w:cs="Arial"/>
          <w:sz w:val="20"/>
        </w:rPr>
      </w:pPr>
    </w:p>
    <w:p w:rsidR="00296057" w:rsidRDefault="00296057" w:rsidP="00FE7FBC">
      <w:pPr>
        <w:rPr>
          <w:rFonts w:ascii="Arial" w:hAnsi="Arial" w:cs="Arial"/>
          <w:sz w:val="20"/>
        </w:rPr>
      </w:pPr>
    </w:p>
    <w:p w:rsidR="00296057" w:rsidRDefault="00296057" w:rsidP="00296057">
      <w:pPr>
        <w:jc w:val="both"/>
        <w:rPr>
          <w:rFonts w:ascii="Arial" w:hAnsi="Arial" w:cs="Arial"/>
          <w:sz w:val="20"/>
          <w:szCs w:val="20"/>
        </w:rPr>
      </w:pPr>
      <w:r w:rsidRPr="00017B0E">
        <w:rPr>
          <w:rFonts w:ascii="Arial" w:hAnsi="Arial" w:cs="Arial"/>
          <w:sz w:val="20"/>
          <w:szCs w:val="20"/>
        </w:rPr>
        <w:t>Der Bewerber muss dem Arbeitgeber über seine Schwerbehinderteneigenschaft bzw. eine Gleichstellung damit regelmäßig im Bewerbungsschreiben informieren. Eingestreute und unauffällige Informationen oder indirekte Hinweise reichen dafür nicht aus</w:t>
      </w:r>
      <w:r w:rsidR="00017B0E">
        <w:rPr>
          <w:rFonts w:ascii="Arial" w:hAnsi="Arial" w:cs="Arial"/>
          <w:sz w:val="20"/>
          <w:szCs w:val="20"/>
        </w:rPr>
        <w:t>.</w:t>
      </w:r>
    </w:p>
    <w:p w:rsidR="00017B0E" w:rsidRDefault="00017B0E" w:rsidP="00296057">
      <w:pPr>
        <w:jc w:val="both"/>
        <w:rPr>
          <w:rFonts w:ascii="Arial" w:hAnsi="Arial" w:cs="Arial"/>
          <w:sz w:val="20"/>
          <w:szCs w:val="20"/>
        </w:rPr>
      </w:pPr>
    </w:p>
    <w:p w:rsidR="00017B0E" w:rsidRDefault="00017B0E" w:rsidP="00017B0E">
      <w:pPr>
        <w:jc w:val="center"/>
        <w:rPr>
          <w:rFonts w:ascii="Arial" w:hAnsi="Arial" w:cs="Arial"/>
          <w:b/>
          <w:sz w:val="20"/>
          <w:szCs w:val="20"/>
        </w:rPr>
      </w:pPr>
      <w:r w:rsidRPr="00017B0E">
        <w:rPr>
          <w:rFonts w:ascii="Arial" w:hAnsi="Arial" w:cs="Arial"/>
          <w:b/>
          <w:sz w:val="20"/>
          <w:szCs w:val="20"/>
        </w:rPr>
        <w:t>VI.</w:t>
      </w:r>
    </w:p>
    <w:p w:rsidR="00017B0E" w:rsidRDefault="00017B0E" w:rsidP="00017B0E">
      <w:pPr>
        <w:jc w:val="center"/>
        <w:rPr>
          <w:rFonts w:ascii="Arial" w:hAnsi="Arial" w:cs="Arial"/>
          <w:b/>
          <w:sz w:val="20"/>
          <w:szCs w:val="20"/>
        </w:rPr>
      </w:pPr>
      <w:r w:rsidRPr="00017B0E">
        <w:rPr>
          <w:rFonts w:ascii="Arial" w:hAnsi="Arial" w:cs="Arial"/>
          <w:b/>
          <w:sz w:val="20"/>
          <w:szCs w:val="20"/>
        </w:rPr>
        <w:t>Soziale Pflegeversicherung - Leistungen für Pflegepersonen - Pflegeunterstützungsgeld - kein Anspruch für Selbstständige - Verfassungsmäßigkeit</w:t>
      </w:r>
    </w:p>
    <w:p w:rsidR="00017B0E" w:rsidRPr="00017B0E" w:rsidRDefault="00017B0E" w:rsidP="00017B0E">
      <w:pPr>
        <w:jc w:val="center"/>
        <w:rPr>
          <w:rFonts w:ascii="Arial" w:hAnsi="Arial" w:cs="Arial"/>
          <w:sz w:val="20"/>
          <w:szCs w:val="20"/>
        </w:rPr>
      </w:pPr>
      <w:r w:rsidRPr="00017B0E">
        <w:rPr>
          <w:rFonts w:ascii="Arial" w:hAnsi="Arial" w:cs="Arial"/>
          <w:sz w:val="20"/>
          <w:szCs w:val="20"/>
        </w:rPr>
        <w:t>Landessozialgericht Baden-Württemberg, Beschluss vom 27. März 2020, Az. L 4 P 2797/19</w:t>
      </w:r>
    </w:p>
    <w:p w:rsidR="00296057" w:rsidRDefault="00296057" w:rsidP="00296057">
      <w:pPr>
        <w:jc w:val="both"/>
        <w:rPr>
          <w:rFonts w:ascii="Arial" w:hAnsi="Arial" w:cs="Arial"/>
          <w:sz w:val="20"/>
          <w:szCs w:val="20"/>
        </w:rPr>
      </w:pPr>
    </w:p>
    <w:p w:rsidR="00017B0E" w:rsidRPr="00017B0E" w:rsidRDefault="00017B0E" w:rsidP="00017B0E">
      <w:pPr>
        <w:jc w:val="both"/>
        <w:rPr>
          <w:rFonts w:ascii="Arial" w:hAnsi="Arial" w:cs="Arial"/>
          <w:sz w:val="20"/>
          <w:szCs w:val="20"/>
        </w:rPr>
      </w:pPr>
      <w:r w:rsidRPr="00017B0E">
        <w:rPr>
          <w:rFonts w:ascii="Arial" w:hAnsi="Arial" w:cs="Arial"/>
          <w:sz w:val="20"/>
          <w:szCs w:val="20"/>
        </w:rPr>
        <w:t xml:space="preserve">1. Selbstständige haben keinen Anspruch auf Pflegeunterstützungsgeld gemäß </w:t>
      </w:r>
      <w:r w:rsidRPr="00017B0E">
        <w:rPr>
          <w:rFonts w:ascii="Arial" w:hAnsi="Arial" w:cs="Arial"/>
          <w:i/>
          <w:iCs/>
          <w:sz w:val="20"/>
          <w:szCs w:val="20"/>
        </w:rPr>
        <w:t xml:space="preserve">§ 44a </w:t>
      </w:r>
      <w:proofErr w:type="spellStart"/>
      <w:r w:rsidRPr="00017B0E">
        <w:rPr>
          <w:rFonts w:ascii="Arial" w:hAnsi="Arial" w:cs="Arial"/>
          <w:i/>
          <w:iCs/>
          <w:sz w:val="20"/>
          <w:szCs w:val="20"/>
        </w:rPr>
        <w:t>Abs</w:t>
      </w:r>
      <w:proofErr w:type="spellEnd"/>
      <w:r w:rsidRPr="00017B0E">
        <w:rPr>
          <w:rFonts w:ascii="Arial" w:hAnsi="Arial" w:cs="Arial"/>
          <w:i/>
          <w:iCs/>
          <w:sz w:val="20"/>
          <w:szCs w:val="20"/>
        </w:rPr>
        <w:t xml:space="preserve"> 3 S 1 SGB XI</w:t>
      </w:r>
      <w:r w:rsidRPr="00017B0E">
        <w:rPr>
          <w:rFonts w:ascii="Arial" w:hAnsi="Arial" w:cs="Arial"/>
          <w:sz w:val="20"/>
          <w:szCs w:val="20"/>
        </w:rPr>
        <w:t xml:space="preserve">. </w:t>
      </w:r>
      <w:bookmarkStart w:id="2" w:name="_retrdlink_21"/>
      <w:r w:rsidRPr="00017B0E">
        <w:rPr>
          <w:rFonts w:ascii="Arial" w:hAnsi="Arial" w:cs="Arial"/>
          <w:sz w:val="20"/>
          <w:szCs w:val="20"/>
        </w:rPr>
        <w:fldChar w:fldCharType="begin"/>
      </w:r>
      <w:r w:rsidRPr="00017B0E">
        <w:rPr>
          <w:rFonts w:ascii="Arial" w:hAnsi="Arial" w:cs="Arial"/>
          <w:sz w:val="20"/>
          <w:szCs w:val="20"/>
        </w:rPr>
        <w:instrText xml:space="preserve"> HYPERLINK "https://www.juris.de/r3/document/JURE200004726/format/xsl/part/L/anchor/rd_21?oi=NDX5TeBpaM&amp;sourceP=%7B%22source%22%3A%22SameDoc%22%7D" \o "" </w:instrText>
      </w:r>
      <w:r w:rsidRPr="00017B0E">
        <w:rPr>
          <w:rFonts w:ascii="Arial" w:hAnsi="Arial" w:cs="Arial"/>
          <w:sz w:val="20"/>
          <w:szCs w:val="20"/>
        </w:rPr>
        <w:fldChar w:fldCharType="separate"/>
      </w:r>
      <w:r w:rsidRPr="00017B0E">
        <w:rPr>
          <w:rStyle w:val="Hyperlink"/>
          <w:rFonts w:ascii="Arial" w:hAnsi="Arial" w:cs="Arial"/>
          <w:sz w:val="20"/>
          <w:szCs w:val="20"/>
          <w:u w:val="none"/>
        </w:rPr>
        <w:t>(Rn.21)</w:t>
      </w:r>
      <w:r w:rsidRPr="00017B0E">
        <w:rPr>
          <w:rFonts w:ascii="Arial" w:hAnsi="Arial" w:cs="Arial"/>
          <w:sz w:val="20"/>
          <w:szCs w:val="20"/>
        </w:rPr>
        <w:fldChar w:fldCharType="end"/>
      </w:r>
      <w:bookmarkEnd w:id="2"/>
    </w:p>
    <w:p w:rsidR="00017B0E" w:rsidRPr="00017B0E" w:rsidRDefault="00017B0E" w:rsidP="00017B0E">
      <w:pPr>
        <w:jc w:val="both"/>
        <w:rPr>
          <w:rFonts w:ascii="Arial" w:hAnsi="Arial" w:cs="Arial"/>
          <w:sz w:val="20"/>
          <w:szCs w:val="20"/>
        </w:rPr>
      </w:pPr>
      <w:r w:rsidRPr="00017B0E">
        <w:rPr>
          <w:rFonts w:ascii="Arial" w:hAnsi="Arial" w:cs="Arial"/>
          <w:sz w:val="20"/>
          <w:szCs w:val="20"/>
        </w:rPr>
        <w:t xml:space="preserve">2. Eine analoge Anwendung der Vorschrift auf diesen Personenkreis scheidet mangels planwidriger Regelungslücke aus. </w:t>
      </w:r>
      <w:bookmarkStart w:id="3" w:name="_retrdlink_24"/>
      <w:r w:rsidRPr="00017B0E">
        <w:rPr>
          <w:rFonts w:ascii="Arial" w:hAnsi="Arial" w:cs="Arial"/>
          <w:i/>
          <w:iCs/>
          <w:sz w:val="20"/>
          <w:szCs w:val="20"/>
        </w:rPr>
        <w:t>(Rn.24)</w:t>
      </w:r>
      <w:bookmarkEnd w:id="3"/>
    </w:p>
    <w:p w:rsidR="00017B0E" w:rsidRPr="00017B0E" w:rsidRDefault="00017B0E" w:rsidP="00017B0E">
      <w:pPr>
        <w:jc w:val="both"/>
        <w:rPr>
          <w:rFonts w:ascii="Arial" w:hAnsi="Arial" w:cs="Arial"/>
          <w:sz w:val="20"/>
          <w:szCs w:val="20"/>
        </w:rPr>
      </w:pPr>
      <w:r w:rsidRPr="00017B0E">
        <w:rPr>
          <w:rFonts w:ascii="Arial" w:hAnsi="Arial" w:cs="Arial"/>
          <w:sz w:val="20"/>
          <w:szCs w:val="20"/>
        </w:rPr>
        <w:t xml:space="preserve">3. Dies verstößt nicht gegen </w:t>
      </w:r>
      <w:r w:rsidRPr="00017B0E">
        <w:rPr>
          <w:rFonts w:ascii="Arial" w:hAnsi="Arial" w:cs="Arial"/>
          <w:i/>
          <w:iCs/>
          <w:sz w:val="20"/>
          <w:szCs w:val="20"/>
        </w:rPr>
        <w:t xml:space="preserve">Art 3 </w:t>
      </w:r>
      <w:proofErr w:type="spellStart"/>
      <w:r w:rsidRPr="00017B0E">
        <w:rPr>
          <w:rFonts w:ascii="Arial" w:hAnsi="Arial" w:cs="Arial"/>
          <w:i/>
          <w:iCs/>
          <w:sz w:val="20"/>
          <w:szCs w:val="20"/>
        </w:rPr>
        <w:t>Abs</w:t>
      </w:r>
      <w:proofErr w:type="spellEnd"/>
      <w:r w:rsidRPr="00017B0E">
        <w:rPr>
          <w:rFonts w:ascii="Arial" w:hAnsi="Arial" w:cs="Arial"/>
          <w:i/>
          <w:iCs/>
          <w:sz w:val="20"/>
          <w:szCs w:val="20"/>
        </w:rPr>
        <w:t xml:space="preserve"> 1 GG</w:t>
      </w:r>
      <w:r w:rsidRPr="00017B0E">
        <w:rPr>
          <w:rFonts w:ascii="Arial" w:hAnsi="Arial" w:cs="Arial"/>
          <w:sz w:val="20"/>
          <w:szCs w:val="20"/>
        </w:rPr>
        <w:t xml:space="preserve">. </w:t>
      </w:r>
      <w:bookmarkStart w:id="4" w:name="_retrdlink_31"/>
      <w:r w:rsidRPr="00017B0E">
        <w:rPr>
          <w:rFonts w:ascii="Arial" w:hAnsi="Arial" w:cs="Arial"/>
          <w:i/>
          <w:iCs/>
          <w:sz w:val="20"/>
          <w:szCs w:val="20"/>
        </w:rPr>
        <w:t>(Rn.31)</w:t>
      </w:r>
      <w:bookmarkEnd w:id="4"/>
    </w:p>
    <w:p w:rsidR="00017B0E" w:rsidRPr="00017B0E" w:rsidRDefault="00017B0E" w:rsidP="00296057">
      <w:pPr>
        <w:jc w:val="both"/>
        <w:rPr>
          <w:rFonts w:ascii="Arial" w:hAnsi="Arial" w:cs="Arial"/>
          <w:sz w:val="20"/>
          <w:szCs w:val="20"/>
        </w:rPr>
      </w:pPr>
    </w:p>
    <w:p w:rsidR="00296057" w:rsidRDefault="00017B0E" w:rsidP="00017B0E">
      <w:pPr>
        <w:jc w:val="center"/>
        <w:rPr>
          <w:rFonts w:ascii="Arial" w:hAnsi="Arial" w:cs="Arial"/>
          <w:b/>
          <w:sz w:val="20"/>
          <w:szCs w:val="20"/>
        </w:rPr>
      </w:pPr>
      <w:r w:rsidRPr="00017B0E">
        <w:rPr>
          <w:rFonts w:ascii="Arial" w:hAnsi="Arial" w:cs="Arial"/>
          <w:b/>
          <w:sz w:val="20"/>
          <w:szCs w:val="20"/>
        </w:rPr>
        <w:t>VII.</w:t>
      </w:r>
    </w:p>
    <w:p w:rsidR="00017B0E" w:rsidRPr="00017B0E" w:rsidRDefault="00017B0E" w:rsidP="00017B0E">
      <w:pPr>
        <w:jc w:val="center"/>
        <w:rPr>
          <w:rFonts w:ascii="Arial" w:hAnsi="Arial" w:cs="Arial"/>
          <w:b/>
          <w:sz w:val="20"/>
          <w:szCs w:val="20"/>
        </w:rPr>
      </w:pPr>
      <w:r w:rsidRPr="00017B0E">
        <w:rPr>
          <w:rFonts w:ascii="Arial" w:hAnsi="Arial" w:cs="Arial"/>
          <w:b/>
          <w:sz w:val="20"/>
          <w:szCs w:val="20"/>
        </w:rPr>
        <w:t xml:space="preserve">Schadensersatz auf der Grundlage des </w:t>
      </w:r>
      <w:proofErr w:type="spellStart"/>
      <w:r w:rsidRPr="00017B0E">
        <w:rPr>
          <w:rFonts w:ascii="Arial" w:hAnsi="Arial" w:cs="Arial"/>
          <w:b/>
          <w:sz w:val="20"/>
          <w:szCs w:val="20"/>
        </w:rPr>
        <w:t>Verletzergewinns</w:t>
      </w:r>
      <w:proofErr w:type="spellEnd"/>
      <w:r w:rsidRPr="00017B0E">
        <w:rPr>
          <w:rFonts w:ascii="Arial" w:hAnsi="Arial" w:cs="Arial"/>
          <w:b/>
          <w:sz w:val="20"/>
          <w:szCs w:val="20"/>
        </w:rPr>
        <w:t xml:space="preserve"> bei Verwendung von nicht (mehr) lizenzierten Fotos auf Produktumverpackungen</w:t>
      </w:r>
    </w:p>
    <w:p w:rsidR="00017B0E" w:rsidRDefault="00017B0E" w:rsidP="00017B0E">
      <w:pPr>
        <w:jc w:val="center"/>
        <w:rPr>
          <w:rFonts w:ascii="Arial" w:hAnsi="Arial" w:cs="Arial"/>
          <w:sz w:val="20"/>
          <w:szCs w:val="20"/>
        </w:rPr>
      </w:pPr>
      <w:r w:rsidRPr="00017B0E">
        <w:rPr>
          <w:rFonts w:ascii="Arial" w:hAnsi="Arial" w:cs="Arial"/>
          <w:sz w:val="20"/>
          <w:szCs w:val="20"/>
        </w:rPr>
        <w:t>OLG Frankfurt, Urteil vom 13. März 2020</w:t>
      </w:r>
      <w:r>
        <w:rPr>
          <w:rFonts w:ascii="Arial" w:hAnsi="Arial" w:cs="Arial"/>
          <w:sz w:val="20"/>
          <w:szCs w:val="20"/>
        </w:rPr>
        <w:t>, Az.</w:t>
      </w:r>
      <w:r w:rsidRPr="00017B0E">
        <w:rPr>
          <w:rFonts w:ascii="Arial" w:hAnsi="Arial" w:cs="Arial"/>
          <w:sz w:val="20"/>
          <w:szCs w:val="20"/>
        </w:rPr>
        <w:t xml:space="preserve"> 11 U 6/19 </w:t>
      </w:r>
    </w:p>
    <w:p w:rsidR="00017B0E" w:rsidRDefault="00017B0E" w:rsidP="00017B0E">
      <w:pPr>
        <w:jc w:val="both"/>
        <w:rPr>
          <w:rFonts w:ascii="Arial" w:hAnsi="Arial" w:cs="Arial"/>
          <w:sz w:val="20"/>
          <w:szCs w:val="20"/>
        </w:rPr>
      </w:pPr>
    </w:p>
    <w:p w:rsidR="00017B0E" w:rsidRDefault="00017B0E" w:rsidP="00017B0E">
      <w:pPr>
        <w:jc w:val="both"/>
        <w:rPr>
          <w:rFonts w:ascii="Arial" w:hAnsi="Arial" w:cs="Arial"/>
          <w:sz w:val="20"/>
          <w:szCs w:val="20"/>
        </w:rPr>
      </w:pPr>
      <w:r w:rsidRPr="00017B0E">
        <w:rPr>
          <w:rFonts w:ascii="Arial" w:hAnsi="Arial" w:cs="Arial"/>
          <w:sz w:val="20"/>
          <w:szCs w:val="20"/>
        </w:rPr>
        <w:t>1. Liefert ein in Deutschland ansässiges Unternehmen ein urheberrechtsverletzendes Produkt an seine im EU-Ausland ansässige Tochtergesellschaft zum dortigen Vertrieb aus, so handelt es sich lediglich um einen konzerninternen Vorgang und nicht um eine Verbreitungshandlung nach deutschem Urheberrecht.</w:t>
      </w:r>
    </w:p>
    <w:p w:rsidR="00017B0E" w:rsidRDefault="00017B0E" w:rsidP="00017B0E">
      <w:pPr>
        <w:jc w:val="both"/>
        <w:rPr>
          <w:rFonts w:ascii="Arial" w:hAnsi="Arial" w:cs="Arial"/>
          <w:sz w:val="20"/>
          <w:szCs w:val="20"/>
        </w:rPr>
      </w:pPr>
      <w:r w:rsidRPr="00017B0E">
        <w:rPr>
          <w:rFonts w:ascii="Arial" w:hAnsi="Arial" w:cs="Arial"/>
          <w:sz w:val="20"/>
          <w:szCs w:val="20"/>
        </w:rPr>
        <w:t xml:space="preserve">2. Der anschließende Vertrieb durch die Tochtergesellschaft in deren </w:t>
      </w:r>
      <w:proofErr w:type="spellStart"/>
      <w:r w:rsidRPr="00017B0E">
        <w:rPr>
          <w:rFonts w:ascii="Arial" w:hAnsi="Arial" w:cs="Arial"/>
          <w:sz w:val="20"/>
          <w:szCs w:val="20"/>
        </w:rPr>
        <w:t>Sitzland</w:t>
      </w:r>
      <w:proofErr w:type="spellEnd"/>
      <w:r w:rsidRPr="00017B0E">
        <w:rPr>
          <w:rFonts w:ascii="Arial" w:hAnsi="Arial" w:cs="Arial"/>
          <w:sz w:val="20"/>
          <w:szCs w:val="20"/>
        </w:rPr>
        <w:t xml:space="preserve"> stellt nach dem im Immaterialgüterrecht anerkannten Schutzlandprinzip keine Verletzung deutschen Urheberrechts dar. Diesbezügliche Schadensersatzansprüche des Urhebers können allein nach dem Recht jenes Landes bestehen. </w:t>
      </w:r>
    </w:p>
    <w:p w:rsidR="00017B0E" w:rsidRPr="00017B0E" w:rsidRDefault="00017B0E" w:rsidP="00017B0E">
      <w:pPr>
        <w:jc w:val="both"/>
        <w:rPr>
          <w:rFonts w:ascii="Arial" w:hAnsi="Arial" w:cs="Arial"/>
          <w:sz w:val="20"/>
          <w:szCs w:val="20"/>
        </w:rPr>
      </w:pPr>
      <w:r w:rsidRPr="00017B0E">
        <w:rPr>
          <w:rFonts w:ascii="Arial" w:hAnsi="Arial" w:cs="Arial"/>
          <w:sz w:val="20"/>
          <w:szCs w:val="20"/>
        </w:rPr>
        <w:t xml:space="preserve">3. Ein Fotograf, dessen Fotos nach Ablauf des vereinbarten Lizenzzeitraums weiterhin auf Produktumverpackungen verwendet werden, kann von dem Verletzer Schadensersatz in Form der Herausgabe des </w:t>
      </w:r>
      <w:proofErr w:type="spellStart"/>
      <w:r w:rsidRPr="00017B0E">
        <w:rPr>
          <w:rFonts w:ascii="Arial" w:hAnsi="Arial" w:cs="Arial"/>
          <w:sz w:val="20"/>
          <w:szCs w:val="20"/>
        </w:rPr>
        <w:t>Verletzergewinns</w:t>
      </w:r>
      <w:proofErr w:type="spellEnd"/>
      <w:r w:rsidRPr="00017B0E">
        <w:rPr>
          <w:rFonts w:ascii="Arial" w:hAnsi="Arial" w:cs="Arial"/>
          <w:sz w:val="20"/>
          <w:szCs w:val="20"/>
        </w:rPr>
        <w:t xml:space="preserve"> verlangen. Dabei ist zunächst zu schätzen, welchen Anteil das Packungsfoto auf die Kaufentscheidung der Kunden zugunsten des Produktes hat. Sodann ist in einem zweiten Schritt zu schätzen, in welchem Umfang dieser Anteil auf die schöpferische Leistung des Fotografen zurückzuführen ist.</w:t>
      </w:r>
    </w:p>
    <w:p w:rsidR="00296057" w:rsidRPr="00017B0E" w:rsidRDefault="00296057" w:rsidP="00296057">
      <w:pPr>
        <w:jc w:val="both"/>
        <w:rPr>
          <w:rFonts w:ascii="Arial" w:hAnsi="Arial" w:cs="Arial"/>
          <w:sz w:val="20"/>
          <w:szCs w:val="20"/>
        </w:rPr>
      </w:pPr>
      <w:bookmarkStart w:id="5" w:name="DocInhalt"/>
      <w:bookmarkEnd w:id="5"/>
    </w:p>
    <w:p w:rsidR="00017B0E" w:rsidRDefault="00017B0E" w:rsidP="00017B0E">
      <w:pPr>
        <w:jc w:val="center"/>
        <w:rPr>
          <w:rFonts w:ascii="Arial" w:hAnsi="Arial" w:cs="Arial"/>
          <w:b/>
          <w:sz w:val="20"/>
          <w:szCs w:val="20"/>
        </w:rPr>
      </w:pPr>
      <w:r w:rsidRPr="00017B0E">
        <w:rPr>
          <w:rFonts w:ascii="Arial" w:hAnsi="Arial" w:cs="Arial"/>
          <w:b/>
          <w:sz w:val="20"/>
          <w:szCs w:val="20"/>
        </w:rPr>
        <w:t>VIII.</w:t>
      </w:r>
    </w:p>
    <w:p w:rsidR="00017B0E" w:rsidRPr="00017B0E" w:rsidRDefault="00017B0E" w:rsidP="00017B0E">
      <w:pPr>
        <w:jc w:val="center"/>
        <w:rPr>
          <w:rFonts w:ascii="Arial" w:hAnsi="Arial" w:cs="Arial"/>
          <w:b/>
          <w:sz w:val="20"/>
          <w:szCs w:val="20"/>
        </w:rPr>
      </w:pPr>
      <w:r w:rsidRPr="00017B0E">
        <w:rPr>
          <w:rFonts w:ascii="Arial" w:hAnsi="Arial" w:cs="Arial"/>
          <w:b/>
          <w:sz w:val="20"/>
          <w:szCs w:val="20"/>
        </w:rPr>
        <w:t>Onlinekurse erbringen nicht den Nachweis einer Sachkunde Hygiene</w:t>
      </w:r>
    </w:p>
    <w:p w:rsidR="00017B0E" w:rsidRDefault="00017B0E" w:rsidP="00017B0E">
      <w:pPr>
        <w:jc w:val="center"/>
        <w:rPr>
          <w:rFonts w:ascii="Arial" w:hAnsi="Arial" w:cs="Arial"/>
          <w:sz w:val="20"/>
          <w:szCs w:val="20"/>
        </w:rPr>
      </w:pPr>
      <w:r w:rsidRPr="00017B0E">
        <w:rPr>
          <w:rFonts w:ascii="Arial" w:hAnsi="Arial" w:cs="Arial"/>
          <w:sz w:val="20"/>
          <w:szCs w:val="20"/>
        </w:rPr>
        <w:t>VG Frankfurt, Beschluss vom 27. Februar 2020</w:t>
      </w:r>
      <w:r>
        <w:rPr>
          <w:rFonts w:ascii="Arial" w:hAnsi="Arial" w:cs="Arial"/>
          <w:sz w:val="20"/>
          <w:szCs w:val="20"/>
        </w:rPr>
        <w:t>, Az. 5 L 3267/19.F</w:t>
      </w:r>
    </w:p>
    <w:p w:rsidR="00017B0E" w:rsidRDefault="00017B0E" w:rsidP="00017B0E">
      <w:pPr>
        <w:jc w:val="both"/>
        <w:rPr>
          <w:rFonts w:ascii="Arial" w:hAnsi="Arial" w:cs="Arial"/>
          <w:sz w:val="20"/>
          <w:szCs w:val="20"/>
        </w:rPr>
      </w:pPr>
    </w:p>
    <w:p w:rsidR="00017B0E" w:rsidRPr="00017B0E" w:rsidRDefault="00017B0E" w:rsidP="00017B0E">
      <w:pPr>
        <w:jc w:val="both"/>
        <w:rPr>
          <w:rFonts w:ascii="Arial" w:hAnsi="Arial" w:cs="Arial"/>
          <w:sz w:val="20"/>
          <w:szCs w:val="20"/>
        </w:rPr>
      </w:pPr>
      <w:r w:rsidRPr="00017B0E">
        <w:rPr>
          <w:rFonts w:ascii="Arial" w:hAnsi="Arial" w:cs="Arial"/>
          <w:sz w:val="20"/>
          <w:szCs w:val="20"/>
        </w:rPr>
        <w:t xml:space="preserve">Reine E-Learning- oder Selbststudiums-Kurse ohne praktischen Übungsteil erfüllen nicht die Voraussetzungen zum Nachweis einer Sachkunde nach </w:t>
      </w:r>
      <w:hyperlink r:id="rId7" w:tooltip="§ 2 InfHygV HE, Landesnorm Hessen, Infektionshygieneverordnung vom 18. März 2003, gültig ab 22.12.2017 bis 31.12.2025" w:history="1">
        <w:r w:rsidRPr="00017B0E">
          <w:rPr>
            <w:rStyle w:val="Hyperlink"/>
            <w:rFonts w:ascii="Arial" w:hAnsi="Arial" w:cs="Arial"/>
            <w:sz w:val="20"/>
            <w:szCs w:val="20"/>
            <w:u w:val="none"/>
          </w:rPr>
          <w:t xml:space="preserve">§ 2 Abs. 10 </w:t>
        </w:r>
        <w:proofErr w:type="spellStart"/>
        <w:r w:rsidRPr="00017B0E">
          <w:rPr>
            <w:rStyle w:val="Hyperlink"/>
            <w:rFonts w:ascii="Arial" w:hAnsi="Arial" w:cs="Arial"/>
            <w:sz w:val="20"/>
            <w:szCs w:val="20"/>
            <w:u w:val="none"/>
          </w:rPr>
          <w:t>InfHygV</w:t>
        </w:r>
        <w:proofErr w:type="spellEnd"/>
        <w:r w:rsidRPr="00017B0E">
          <w:rPr>
            <w:rStyle w:val="Hyperlink"/>
            <w:rFonts w:ascii="Arial" w:hAnsi="Arial" w:cs="Arial"/>
            <w:sz w:val="20"/>
            <w:szCs w:val="20"/>
            <w:u w:val="none"/>
          </w:rPr>
          <w:t xml:space="preserve"> HE.</w:t>
        </w:r>
      </w:hyperlink>
      <w:bookmarkStart w:id="6" w:name="_retrdlink_28"/>
      <w:r w:rsidRPr="00017B0E">
        <w:rPr>
          <w:rFonts w:ascii="Arial" w:hAnsi="Arial" w:cs="Arial"/>
          <w:sz w:val="20"/>
          <w:szCs w:val="20"/>
        </w:rPr>
        <w:fldChar w:fldCharType="begin"/>
      </w:r>
      <w:r w:rsidRPr="00017B0E">
        <w:rPr>
          <w:rFonts w:ascii="Arial" w:hAnsi="Arial" w:cs="Arial"/>
          <w:sz w:val="20"/>
          <w:szCs w:val="20"/>
        </w:rPr>
        <w:instrText xml:space="preserve"> HYPERLINK "https://www.juris.de/r3/document/MWRE200001266/format/xsl/part/L/anchor/rd_28?oi=NDX5TeBpaM&amp;sourceP=%7B%22source%22%3A%22SameDoc%22%7D" \o "" </w:instrText>
      </w:r>
      <w:r w:rsidRPr="00017B0E">
        <w:rPr>
          <w:rFonts w:ascii="Arial" w:hAnsi="Arial" w:cs="Arial"/>
          <w:sz w:val="20"/>
          <w:szCs w:val="20"/>
        </w:rPr>
        <w:fldChar w:fldCharType="separate"/>
      </w:r>
      <w:r w:rsidRPr="00017B0E">
        <w:rPr>
          <w:rStyle w:val="Hyperlink"/>
          <w:rFonts w:ascii="Arial" w:hAnsi="Arial" w:cs="Arial"/>
          <w:sz w:val="20"/>
          <w:szCs w:val="20"/>
          <w:u w:val="none"/>
        </w:rPr>
        <w:t>(Rn.28)</w:t>
      </w:r>
      <w:r w:rsidRPr="00017B0E">
        <w:rPr>
          <w:rFonts w:ascii="Arial" w:hAnsi="Arial" w:cs="Arial"/>
          <w:sz w:val="20"/>
          <w:szCs w:val="20"/>
        </w:rPr>
        <w:fldChar w:fldCharType="end"/>
      </w:r>
      <w:bookmarkEnd w:id="6"/>
      <w:r>
        <w:rPr>
          <w:rFonts w:ascii="Arial" w:hAnsi="Arial" w:cs="Arial"/>
          <w:sz w:val="20"/>
          <w:szCs w:val="20"/>
        </w:rPr>
        <w:t>.</w:t>
      </w:r>
    </w:p>
    <w:p w:rsidR="00273491" w:rsidRDefault="00273491">
      <w:pPr>
        <w:spacing w:after="160" w:line="259" w:lineRule="auto"/>
        <w:rPr>
          <w:rFonts w:ascii="Arial" w:hAnsi="Arial" w:cs="Arial"/>
          <w:sz w:val="20"/>
          <w:szCs w:val="20"/>
        </w:rPr>
      </w:pPr>
    </w:p>
    <w:p w:rsidR="00017B0E" w:rsidRDefault="00017B0E" w:rsidP="00017B0E">
      <w:pPr>
        <w:jc w:val="both"/>
        <w:rPr>
          <w:rFonts w:ascii="Arial" w:hAnsi="Arial" w:cs="Arial"/>
          <w:sz w:val="20"/>
          <w:szCs w:val="20"/>
        </w:rPr>
      </w:pPr>
    </w:p>
    <w:p w:rsidR="00017B0E" w:rsidRDefault="00017B0E" w:rsidP="00017B0E">
      <w:pPr>
        <w:jc w:val="center"/>
        <w:rPr>
          <w:rFonts w:ascii="Arial" w:hAnsi="Arial" w:cs="Arial"/>
          <w:b/>
          <w:sz w:val="20"/>
          <w:szCs w:val="20"/>
        </w:rPr>
      </w:pPr>
      <w:r w:rsidRPr="00017B0E">
        <w:rPr>
          <w:rFonts w:ascii="Arial" w:hAnsi="Arial" w:cs="Arial"/>
          <w:b/>
          <w:sz w:val="20"/>
          <w:szCs w:val="20"/>
        </w:rPr>
        <w:t>IX.</w:t>
      </w:r>
    </w:p>
    <w:p w:rsidR="00017B0E" w:rsidRPr="00017B0E" w:rsidRDefault="00017B0E" w:rsidP="00017B0E">
      <w:pPr>
        <w:jc w:val="center"/>
        <w:rPr>
          <w:rFonts w:ascii="Arial" w:hAnsi="Arial" w:cs="Arial"/>
          <w:sz w:val="20"/>
          <w:szCs w:val="20"/>
        </w:rPr>
      </w:pPr>
      <w:r w:rsidRPr="00017B0E">
        <w:rPr>
          <w:rFonts w:ascii="Arial" w:hAnsi="Arial" w:cs="Arial"/>
          <w:sz w:val="20"/>
          <w:szCs w:val="20"/>
        </w:rPr>
        <w:t>LG Bremen, Urteil vom 03. April 2020, Az. 4 O 2014/18 </w:t>
      </w:r>
    </w:p>
    <w:p w:rsidR="00017B0E" w:rsidRPr="00017B0E" w:rsidRDefault="00017B0E" w:rsidP="00296057">
      <w:pPr>
        <w:jc w:val="both"/>
        <w:rPr>
          <w:rFonts w:ascii="Arial" w:hAnsi="Arial" w:cs="Arial"/>
          <w:sz w:val="20"/>
          <w:szCs w:val="20"/>
        </w:rPr>
      </w:pPr>
    </w:p>
    <w:p w:rsidR="00017B0E" w:rsidRPr="00017B0E" w:rsidRDefault="00017B0E" w:rsidP="00017B0E">
      <w:pPr>
        <w:jc w:val="both"/>
        <w:rPr>
          <w:rFonts w:ascii="Arial" w:hAnsi="Arial" w:cs="Arial"/>
          <w:sz w:val="20"/>
          <w:szCs w:val="20"/>
        </w:rPr>
      </w:pPr>
      <w:r w:rsidRPr="00017B0E">
        <w:rPr>
          <w:rFonts w:ascii="Arial" w:hAnsi="Arial" w:cs="Arial"/>
          <w:sz w:val="20"/>
          <w:szCs w:val="20"/>
        </w:rPr>
        <w:t xml:space="preserve">1. Der Ankauf von Versicherungen mit dem Versprechen, nach einem von dem Kunden zu bestimmenden Zeitrahmen Auszahlungen oberhalb des Rückkaufswertes an den Kunden zu tätigen, stellt ein Einlagengeschäft </w:t>
      </w:r>
      <w:proofErr w:type="spellStart"/>
      <w:r w:rsidRPr="00017B0E">
        <w:rPr>
          <w:rFonts w:ascii="Arial" w:hAnsi="Arial" w:cs="Arial"/>
          <w:sz w:val="20"/>
          <w:szCs w:val="20"/>
        </w:rPr>
        <w:t>i.S.d</w:t>
      </w:r>
      <w:proofErr w:type="spellEnd"/>
      <w:r w:rsidRPr="00017B0E">
        <w:rPr>
          <w:rFonts w:ascii="Arial" w:hAnsi="Arial" w:cs="Arial"/>
          <w:sz w:val="20"/>
          <w:szCs w:val="20"/>
        </w:rPr>
        <w:t xml:space="preserve">. </w:t>
      </w:r>
      <w:r w:rsidRPr="00017B0E">
        <w:rPr>
          <w:rFonts w:ascii="Arial" w:hAnsi="Arial" w:cs="Arial"/>
          <w:i/>
          <w:iCs/>
          <w:sz w:val="20"/>
          <w:szCs w:val="20"/>
        </w:rPr>
        <w:t>§ 1 Abs. 1 S. 2 KWG</w:t>
      </w:r>
      <w:r w:rsidRPr="00017B0E">
        <w:rPr>
          <w:rFonts w:ascii="Arial" w:hAnsi="Arial" w:cs="Arial"/>
          <w:sz w:val="20"/>
          <w:szCs w:val="20"/>
        </w:rPr>
        <w:t xml:space="preserve"> dar.</w:t>
      </w:r>
    </w:p>
    <w:p w:rsidR="00017B0E" w:rsidRPr="00017B0E" w:rsidRDefault="00017B0E" w:rsidP="00017B0E">
      <w:pPr>
        <w:jc w:val="both"/>
        <w:rPr>
          <w:rFonts w:ascii="Arial" w:hAnsi="Arial" w:cs="Arial"/>
          <w:sz w:val="20"/>
          <w:szCs w:val="20"/>
        </w:rPr>
      </w:pPr>
      <w:r w:rsidRPr="00017B0E">
        <w:rPr>
          <w:rFonts w:ascii="Arial" w:hAnsi="Arial" w:cs="Arial"/>
          <w:sz w:val="20"/>
          <w:szCs w:val="20"/>
        </w:rPr>
        <w:t xml:space="preserve">2. Betreibt eine Aktiengesellschaft ein Einlagengeschäft im Sinne von </w:t>
      </w:r>
      <w:r w:rsidRPr="00017B0E">
        <w:rPr>
          <w:rFonts w:ascii="Arial" w:hAnsi="Arial" w:cs="Arial"/>
          <w:i/>
          <w:iCs/>
          <w:sz w:val="20"/>
          <w:szCs w:val="20"/>
        </w:rPr>
        <w:t>§ 1 Abs. 1 Satz 2 KWG</w:t>
      </w:r>
      <w:r w:rsidRPr="00017B0E">
        <w:rPr>
          <w:rFonts w:ascii="Arial" w:hAnsi="Arial" w:cs="Arial"/>
          <w:sz w:val="20"/>
          <w:szCs w:val="20"/>
        </w:rPr>
        <w:t xml:space="preserve"> ohne die nach </w:t>
      </w:r>
      <w:r w:rsidRPr="00017B0E">
        <w:rPr>
          <w:rFonts w:ascii="Arial" w:hAnsi="Arial" w:cs="Arial"/>
          <w:i/>
          <w:iCs/>
          <w:sz w:val="20"/>
          <w:szCs w:val="20"/>
        </w:rPr>
        <w:t>§ 32 Abs. 1 S. 1 KWG</w:t>
      </w:r>
      <w:r w:rsidRPr="00017B0E">
        <w:rPr>
          <w:rFonts w:ascii="Arial" w:hAnsi="Arial" w:cs="Arial"/>
          <w:sz w:val="20"/>
          <w:szCs w:val="20"/>
        </w:rPr>
        <w:t xml:space="preserve"> erforderliche Erlaubnis, so kann sich der nach </w:t>
      </w:r>
      <w:r w:rsidRPr="00017B0E">
        <w:rPr>
          <w:rFonts w:ascii="Arial" w:hAnsi="Arial" w:cs="Arial"/>
          <w:i/>
          <w:iCs/>
          <w:sz w:val="20"/>
          <w:szCs w:val="20"/>
        </w:rPr>
        <w:t>§ 54 KWG</w:t>
      </w:r>
      <w:r w:rsidRPr="00017B0E">
        <w:rPr>
          <w:rFonts w:ascii="Arial" w:hAnsi="Arial" w:cs="Arial"/>
          <w:sz w:val="20"/>
          <w:szCs w:val="20"/>
        </w:rPr>
        <w:t xml:space="preserve"> </w:t>
      </w:r>
      <w:proofErr w:type="spellStart"/>
      <w:r w:rsidRPr="00017B0E">
        <w:rPr>
          <w:rFonts w:ascii="Arial" w:hAnsi="Arial" w:cs="Arial"/>
          <w:sz w:val="20"/>
          <w:szCs w:val="20"/>
        </w:rPr>
        <w:t>i.V.m</w:t>
      </w:r>
      <w:proofErr w:type="spellEnd"/>
      <w:r w:rsidRPr="00017B0E">
        <w:rPr>
          <w:rFonts w:ascii="Arial" w:hAnsi="Arial" w:cs="Arial"/>
          <w:sz w:val="20"/>
          <w:szCs w:val="20"/>
        </w:rPr>
        <w:t xml:space="preserve">. </w:t>
      </w:r>
      <w:r w:rsidRPr="00017B0E">
        <w:rPr>
          <w:rFonts w:ascii="Arial" w:hAnsi="Arial" w:cs="Arial"/>
          <w:i/>
          <w:iCs/>
          <w:sz w:val="20"/>
          <w:szCs w:val="20"/>
        </w:rPr>
        <w:t>§ 14 StGB</w:t>
      </w:r>
      <w:r w:rsidRPr="00017B0E">
        <w:rPr>
          <w:rFonts w:ascii="Arial" w:hAnsi="Arial" w:cs="Arial"/>
          <w:sz w:val="20"/>
          <w:szCs w:val="20"/>
        </w:rPr>
        <w:t xml:space="preserve"> persönlich haftende Vorstand nicht auf einen sein Verschulden ausschließenden Rechtsirrtum berufen, wenn er bei bestehender Rechtsunsicherheit keinen zumutbaren Rechtsrat einholte. </w:t>
      </w:r>
    </w:p>
    <w:p w:rsidR="00296057" w:rsidRPr="00017B0E" w:rsidRDefault="00296057" w:rsidP="00296057">
      <w:pPr>
        <w:jc w:val="both"/>
        <w:rPr>
          <w:rFonts w:ascii="Arial" w:hAnsi="Arial" w:cs="Arial"/>
          <w:sz w:val="20"/>
          <w:szCs w:val="20"/>
        </w:rPr>
      </w:pPr>
    </w:p>
    <w:p w:rsidR="00296057" w:rsidRDefault="00273491" w:rsidP="00273491">
      <w:pPr>
        <w:jc w:val="center"/>
        <w:rPr>
          <w:rFonts w:ascii="Arial" w:hAnsi="Arial" w:cs="Arial"/>
          <w:b/>
          <w:sz w:val="20"/>
          <w:szCs w:val="20"/>
        </w:rPr>
      </w:pPr>
      <w:r w:rsidRPr="00273491">
        <w:rPr>
          <w:rFonts w:ascii="Arial" w:hAnsi="Arial" w:cs="Arial"/>
          <w:b/>
          <w:sz w:val="20"/>
          <w:szCs w:val="20"/>
        </w:rPr>
        <w:t>X.</w:t>
      </w:r>
    </w:p>
    <w:p w:rsidR="00273491" w:rsidRDefault="00273491" w:rsidP="00273491">
      <w:pPr>
        <w:jc w:val="center"/>
        <w:rPr>
          <w:rFonts w:ascii="Arial" w:hAnsi="Arial" w:cs="Arial"/>
          <w:sz w:val="20"/>
          <w:szCs w:val="20"/>
        </w:rPr>
      </w:pPr>
      <w:r w:rsidRPr="00273491">
        <w:rPr>
          <w:rFonts w:ascii="Arial" w:hAnsi="Arial" w:cs="Arial"/>
          <w:sz w:val="20"/>
          <w:szCs w:val="20"/>
        </w:rPr>
        <w:t>LG Berlin, Beschluss vom 26. März 2020</w:t>
      </w:r>
      <w:r>
        <w:rPr>
          <w:rFonts w:ascii="Arial" w:hAnsi="Arial" w:cs="Arial"/>
          <w:sz w:val="20"/>
          <w:szCs w:val="20"/>
        </w:rPr>
        <w:t>, Az.</w:t>
      </w:r>
      <w:r w:rsidRPr="00273491">
        <w:rPr>
          <w:rFonts w:ascii="Arial" w:hAnsi="Arial" w:cs="Arial"/>
          <w:sz w:val="20"/>
          <w:szCs w:val="20"/>
        </w:rPr>
        <w:t xml:space="preserve"> 67 S 16/20 </w:t>
      </w:r>
    </w:p>
    <w:p w:rsidR="00273491" w:rsidRPr="00273491" w:rsidRDefault="00273491" w:rsidP="00273491">
      <w:pPr>
        <w:jc w:val="center"/>
        <w:rPr>
          <w:rFonts w:ascii="Arial" w:hAnsi="Arial" w:cs="Arial"/>
          <w:sz w:val="20"/>
          <w:szCs w:val="20"/>
        </w:rPr>
      </w:pPr>
    </w:p>
    <w:p w:rsidR="00273491" w:rsidRPr="00273491" w:rsidRDefault="00273491" w:rsidP="00273491">
      <w:pPr>
        <w:jc w:val="both"/>
        <w:rPr>
          <w:rFonts w:ascii="Arial" w:hAnsi="Arial" w:cs="Arial"/>
          <w:sz w:val="20"/>
          <w:szCs w:val="20"/>
        </w:rPr>
      </w:pPr>
      <w:r w:rsidRPr="00273491">
        <w:rPr>
          <w:rFonts w:ascii="Arial" w:hAnsi="Arial" w:cs="Arial"/>
          <w:sz w:val="20"/>
          <w:szCs w:val="20"/>
        </w:rPr>
        <w:t xml:space="preserve">1. Gerichtliche Räumungsfristen sind derzeit in Berlin gemäß </w:t>
      </w:r>
      <w:r w:rsidRPr="00273491">
        <w:rPr>
          <w:rFonts w:ascii="Arial" w:hAnsi="Arial" w:cs="Arial"/>
          <w:i/>
          <w:iCs/>
          <w:sz w:val="20"/>
          <w:szCs w:val="20"/>
        </w:rPr>
        <w:t>§ 721 ZPO</w:t>
      </w:r>
      <w:r w:rsidRPr="00273491">
        <w:rPr>
          <w:rFonts w:ascii="Arial" w:hAnsi="Arial" w:cs="Arial"/>
          <w:sz w:val="20"/>
          <w:szCs w:val="20"/>
        </w:rPr>
        <w:t xml:space="preserve"> grundsätzlich jedenfalls bis zum 30. Juni 2020 zu erstrecken oder auf Antrag entsprechend zu verlängern. Die erlassenen Landesverordnungen zur Eindämmung des Coronavirus haben das öffentliche Leben im Land Berlin weitgehend beschränkt und zum Erliegen gebracht, so dass die erfolgreiche Beschaffung von Ersatzwohnraum für einen zur Räumung verpflichteten Mieter derzeit überwiegend unwahrscheinlich, wenn nicht sogar ausgeschlossen ist.</w:t>
      </w:r>
    </w:p>
    <w:p w:rsidR="00273491" w:rsidRPr="00273491" w:rsidRDefault="00273491" w:rsidP="00273491">
      <w:pPr>
        <w:jc w:val="both"/>
        <w:rPr>
          <w:rFonts w:ascii="Arial" w:hAnsi="Arial" w:cs="Arial"/>
          <w:sz w:val="20"/>
          <w:szCs w:val="20"/>
        </w:rPr>
      </w:pPr>
      <w:r w:rsidRPr="00273491">
        <w:rPr>
          <w:rFonts w:ascii="Arial" w:hAnsi="Arial" w:cs="Arial"/>
          <w:sz w:val="20"/>
          <w:szCs w:val="20"/>
        </w:rPr>
        <w:t>2. Eine davon abweichende Bemessung oder die Versagung der Räumungsfrist kommen ausnahmsweise nur dann in Betracht, wenn der Verbleib des Räumungsschuldners in der Mietsache eine Gefahr für Leib oder Leben begründet oder gleichrangige Interessen des Vermieters oder Dritter eine umgehende Räumung der Mietsache gebieten.</w:t>
      </w:r>
    </w:p>
    <w:p w:rsidR="00273491" w:rsidRPr="00273491" w:rsidRDefault="00273491" w:rsidP="00273491">
      <w:pPr>
        <w:jc w:val="both"/>
        <w:rPr>
          <w:rFonts w:ascii="Arial" w:hAnsi="Arial" w:cs="Arial"/>
          <w:sz w:val="20"/>
          <w:szCs w:val="20"/>
        </w:rPr>
      </w:pPr>
    </w:p>
    <w:p w:rsidR="00296057" w:rsidRPr="00273491" w:rsidRDefault="00296057" w:rsidP="00296057">
      <w:pPr>
        <w:jc w:val="both"/>
        <w:rPr>
          <w:rFonts w:ascii="Arial" w:hAnsi="Arial" w:cs="Arial"/>
          <w:sz w:val="20"/>
          <w:szCs w:val="20"/>
        </w:rPr>
      </w:pPr>
    </w:p>
    <w:p w:rsidR="00273491" w:rsidRPr="00273491" w:rsidRDefault="00273491" w:rsidP="00296057">
      <w:pPr>
        <w:jc w:val="both"/>
        <w:rPr>
          <w:rFonts w:ascii="Arial" w:hAnsi="Arial" w:cs="Arial"/>
          <w:sz w:val="20"/>
          <w:szCs w:val="20"/>
        </w:rPr>
      </w:pPr>
    </w:p>
    <w:p w:rsidR="00273491" w:rsidRPr="00273491" w:rsidRDefault="00273491" w:rsidP="00273491">
      <w:pPr>
        <w:jc w:val="both"/>
        <w:rPr>
          <w:rFonts w:ascii="Arial" w:hAnsi="Arial" w:cs="Arial"/>
          <w:sz w:val="20"/>
          <w:szCs w:val="20"/>
        </w:rPr>
      </w:pPr>
      <w:r w:rsidRPr="00273491">
        <w:rPr>
          <w:rFonts w:ascii="Arial" w:hAnsi="Arial" w:cs="Arial"/>
          <w:sz w:val="20"/>
          <w:szCs w:val="20"/>
        </w:rPr>
        <w:t>Für Rückfragen stehe ich Ihnen gerne zur Verfügung.</w:t>
      </w:r>
    </w:p>
    <w:p w:rsidR="00273491" w:rsidRPr="00273491" w:rsidRDefault="00273491" w:rsidP="00273491">
      <w:pPr>
        <w:jc w:val="both"/>
        <w:rPr>
          <w:rFonts w:ascii="Arial" w:hAnsi="Arial" w:cs="Arial"/>
          <w:sz w:val="20"/>
          <w:szCs w:val="20"/>
        </w:rPr>
      </w:pPr>
    </w:p>
    <w:p w:rsidR="00273491" w:rsidRPr="00273491" w:rsidRDefault="00273491" w:rsidP="00273491">
      <w:pPr>
        <w:jc w:val="both"/>
        <w:rPr>
          <w:rFonts w:ascii="Arial" w:hAnsi="Arial" w:cs="Arial"/>
          <w:sz w:val="20"/>
          <w:szCs w:val="20"/>
        </w:rPr>
      </w:pPr>
    </w:p>
    <w:p w:rsidR="00273491" w:rsidRPr="00273491" w:rsidRDefault="00273491" w:rsidP="00273491">
      <w:pPr>
        <w:jc w:val="both"/>
        <w:rPr>
          <w:rFonts w:ascii="Arial" w:hAnsi="Arial" w:cs="Arial"/>
          <w:sz w:val="20"/>
          <w:szCs w:val="20"/>
        </w:rPr>
      </w:pPr>
      <w:r w:rsidRPr="00273491">
        <w:rPr>
          <w:rFonts w:ascii="Arial" w:hAnsi="Arial" w:cs="Arial"/>
          <w:sz w:val="20"/>
          <w:szCs w:val="20"/>
        </w:rPr>
        <w:t>Michael Henn</w:t>
      </w:r>
    </w:p>
    <w:p w:rsidR="00273491" w:rsidRPr="00273491" w:rsidRDefault="00273491" w:rsidP="00273491">
      <w:pPr>
        <w:jc w:val="both"/>
        <w:rPr>
          <w:rFonts w:ascii="Arial" w:hAnsi="Arial" w:cs="Arial"/>
          <w:sz w:val="20"/>
          <w:szCs w:val="20"/>
        </w:rPr>
      </w:pPr>
      <w:r w:rsidRPr="00273491">
        <w:rPr>
          <w:rFonts w:ascii="Arial" w:hAnsi="Arial" w:cs="Arial"/>
          <w:sz w:val="20"/>
          <w:szCs w:val="20"/>
        </w:rPr>
        <w:t>Rechtsanwalt</w:t>
      </w:r>
    </w:p>
    <w:p w:rsidR="00273491" w:rsidRPr="00273491" w:rsidRDefault="00273491" w:rsidP="00273491">
      <w:pPr>
        <w:jc w:val="both"/>
        <w:rPr>
          <w:rFonts w:ascii="Arial" w:hAnsi="Arial" w:cs="Arial"/>
          <w:sz w:val="20"/>
          <w:szCs w:val="20"/>
        </w:rPr>
      </w:pPr>
      <w:r w:rsidRPr="00273491">
        <w:rPr>
          <w:rFonts w:ascii="Arial" w:hAnsi="Arial" w:cs="Arial"/>
          <w:sz w:val="20"/>
          <w:szCs w:val="20"/>
        </w:rPr>
        <w:t>Fachanwalt für Erbrecht</w:t>
      </w:r>
    </w:p>
    <w:p w:rsidR="00273491" w:rsidRPr="00273491" w:rsidRDefault="00273491" w:rsidP="00273491">
      <w:pPr>
        <w:jc w:val="both"/>
        <w:rPr>
          <w:rFonts w:ascii="Arial" w:hAnsi="Arial" w:cs="Arial"/>
          <w:sz w:val="20"/>
          <w:szCs w:val="20"/>
        </w:rPr>
      </w:pPr>
      <w:r w:rsidRPr="00273491">
        <w:rPr>
          <w:rFonts w:ascii="Arial" w:hAnsi="Arial" w:cs="Arial"/>
          <w:sz w:val="20"/>
          <w:szCs w:val="20"/>
        </w:rPr>
        <w:t xml:space="preserve">Fachanwalt für Arbeitsrecht </w:t>
      </w:r>
    </w:p>
    <w:p w:rsidR="00273491" w:rsidRPr="00273491" w:rsidRDefault="00273491" w:rsidP="00273491">
      <w:pPr>
        <w:jc w:val="both"/>
        <w:rPr>
          <w:rFonts w:ascii="Arial" w:hAnsi="Arial" w:cs="Arial"/>
          <w:sz w:val="20"/>
          <w:szCs w:val="20"/>
        </w:rPr>
      </w:pPr>
      <w:r w:rsidRPr="00273491">
        <w:rPr>
          <w:rFonts w:ascii="Arial" w:hAnsi="Arial" w:cs="Arial"/>
          <w:sz w:val="20"/>
          <w:szCs w:val="20"/>
        </w:rPr>
        <w:t xml:space="preserve">Schriftleiter mittelstandsdepesche </w:t>
      </w:r>
    </w:p>
    <w:p w:rsidR="00273491" w:rsidRPr="00273491" w:rsidRDefault="00273491" w:rsidP="00273491">
      <w:pPr>
        <w:jc w:val="both"/>
        <w:rPr>
          <w:rFonts w:ascii="Arial" w:hAnsi="Arial" w:cs="Arial"/>
          <w:sz w:val="20"/>
          <w:szCs w:val="20"/>
        </w:rPr>
      </w:pPr>
      <w:r w:rsidRPr="00273491">
        <w:rPr>
          <w:rFonts w:ascii="Arial" w:hAnsi="Arial" w:cs="Arial"/>
          <w:sz w:val="20"/>
          <w:szCs w:val="20"/>
        </w:rPr>
        <w:t xml:space="preserve">Rechtsanwälte Dr. </w:t>
      </w:r>
      <w:proofErr w:type="spellStart"/>
      <w:r w:rsidRPr="00273491">
        <w:rPr>
          <w:rFonts w:ascii="Arial" w:hAnsi="Arial" w:cs="Arial"/>
          <w:sz w:val="20"/>
          <w:szCs w:val="20"/>
        </w:rPr>
        <w:t>Gaupp</w:t>
      </w:r>
      <w:proofErr w:type="spellEnd"/>
      <w:r w:rsidRPr="00273491">
        <w:rPr>
          <w:rFonts w:ascii="Arial" w:hAnsi="Arial" w:cs="Arial"/>
          <w:sz w:val="20"/>
          <w:szCs w:val="20"/>
        </w:rPr>
        <w:t xml:space="preserve"> &amp; </w:t>
      </w:r>
      <w:proofErr w:type="spellStart"/>
      <w:r w:rsidRPr="00273491">
        <w:rPr>
          <w:rFonts w:ascii="Arial" w:hAnsi="Arial" w:cs="Arial"/>
          <w:sz w:val="20"/>
          <w:szCs w:val="20"/>
        </w:rPr>
        <w:t>Coll</w:t>
      </w:r>
      <w:proofErr w:type="spellEnd"/>
      <w:r w:rsidRPr="00273491">
        <w:rPr>
          <w:rFonts w:ascii="Arial" w:hAnsi="Arial" w:cs="Arial"/>
          <w:sz w:val="20"/>
          <w:szCs w:val="20"/>
        </w:rPr>
        <w:t>.</w:t>
      </w:r>
    </w:p>
    <w:p w:rsidR="00273491" w:rsidRPr="00273491" w:rsidRDefault="00273491" w:rsidP="00273491">
      <w:pPr>
        <w:jc w:val="both"/>
        <w:rPr>
          <w:rFonts w:ascii="Arial" w:hAnsi="Arial" w:cs="Arial"/>
          <w:sz w:val="20"/>
          <w:szCs w:val="20"/>
        </w:rPr>
      </w:pPr>
      <w:r w:rsidRPr="00273491">
        <w:rPr>
          <w:rFonts w:ascii="Arial" w:hAnsi="Arial" w:cs="Arial"/>
          <w:sz w:val="20"/>
          <w:szCs w:val="20"/>
        </w:rPr>
        <w:t xml:space="preserve">Kronprinzstr. 14 </w:t>
      </w:r>
      <w:bookmarkStart w:id="7" w:name="_GoBack"/>
      <w:bookmarkEnd w:id="7"/>
    </w:p>
    <w:p w:rsidR="00273491" w:rsidRPr="00273491" w:rsidRDefault="00273491" w:rsidP="00273491">
      <w:pPr>
        <w:jc w:val="both"/>
        <w:rPr>
          <w:rFonts w:ascii="Arial" w:hAnsi="Arial" w:cs="Arial"/>
          <w:sz w:val="20"/>
          <w:szCs w:val="20"/>
        </w:rPr>
      </w:pPr>
      <w:r w:rsidRPr="00273491">
        <w:rPr>
          <w:rFonts w:ascii="Arial" w:hAnsi="Arial" w:cs="Arial"/>
          <w:sz w:val="20"/>
          <w:szCs w:val="20"/>
        </w:rPr>
        <w:t>70173 Stuttgart</w:t>
      </w:r>
    </w:p>
    <w:p w:rsidR="00273491" w:rsidRPr="00273491" w:rsidRDefault="00273491" w:rsidP="00273491">
      <w:pPr>
        <w:jc w:val="both"/>
        <w:rPr>
          <w:rFonts w:ascii="Arial" w:hAnsi="Arial" w:cs="Arial"/>
          <w:sz w:val="20"/>
          <w:szCs w:val="20"/>
        </w:rPr>
      </w:pPr>
      <w:r w:rsidRPr="00273491">
        <w:rPr>
          <w:rFonts w:ascii="Arial" w:hAnsi="Arial" w:cs="Arial"/>
          <w:sz w:val="20"/>
          <w:szCs w:val="20"/>
        </w:rPr>
        <w:t>Tel.: 0711/ 30 58 93-0</w:t>
      </w:r>
      <w:r w:rsidRPr="00273491">
        <w:rPr>
          <w:rFonts w:ascii="Arial" w:hAnsi="Arial" w:cs="Arial"/>
          <w:sz w:val="20"/>
          <w:szCs w:val="20"/>
        </w:rPr>
        <w:tab/>
      </w:r>
      <w:r w:rsidRPr="00273491">
        <w:rPr>
          <w:rFonts w:ascii="Arial" w:hAnsi="Arial" w:cs="Arial"/>
          <w:sz w:val="20"/>
          <w:szCs w:val="20"/>
        </w:rPr>
        <w:tab/>
        <w:t>Fax: 0711/ 30 58 93-11</w:t>
      </w:r>
    </w:p>
    <w:p w:rsidR="00273491" w:rsidRPr="00273491" w:rsidRDefault="00273491" w:rsidP="00273491">
      <w:pPr>
        <w:jc w:val="both"/>
        <w:rPr>
          <w:rFonts w:ascii="Arial" w:hAnsi="Arial" w:cs="Arial"/>
          <w:sz w:val="20"/>
          <w:szCs w:val="20"/>
        </w:rPr>
      </w:pPr>
      <w:r w:rsidRPr="00273491">
        <w:rPr>
          <w:rFonts w:ascii="Arial" w:hAnsi="Arial" w:cs="Arial"/>
          <w:sz w:val="20"/>
          <w:szCs w:val="20"/>
        </w:rPr>
        <w:t xml:space="preserve">E-Mail: </w:t>
      </w:r>
      <w:hyperlink r:id="rId8" w:history="1">
        <w:r w:rsidRPr="00273491">
          <w:rPr>
            <w:rFonts w:ascii="Arial" w:hAnsi="Arial" w:cs="Arial"/>
            <w:color w:val="0563C1"/>
            <w:sz w:val="20"/>
            <w:szCs w:val="20"/>
            <w:u w:val="single"/>
          </w:rPr>
          <w:t>henn@drgaupp.de</w:t>
        </w:r>
      </w:hyperlink>
      <w:r w:rsidRPr="00273491">
        <w:rPr>
          <w:rFonts w:ascii="Arial" w:hAnsi="Arial" w:cs="Arial"/>
          <w:sz w:val="20"/>
          <w:szCs w:val="20"/>
        </w:rPr>
        <w:tab/>
      </w:r>
      <w:hyperlink r:id="rId9" w:history="1">
        <w:r w:rsidRPr="00273491">
          <w:rPr>
            <w:rFonts w:ascii="Arial" w:hAnsi="Arial" w:cs="Arial"/>
            <w:color w:val="0563C1"/>
            <w:sz w:val="20"/>
            <w:szCs w:val="20"/>
            <w:u w:val="single"/>
          </w:rPr>
          <w:t>www.drgaupp.de</w:t>
        </w:r>
      </w:hyperlink>
    </w:p>
    <w:p w:rsidR="00273491" w:rsidRPr="00273491" w:rsidRDefault="00273491" w:rsidP="00273491">
      <w:pPr>
        <w:jc w:val="both"/>
        <w:rPr>
          <w:rFonts w:ascii="Arial" w:hAnsi="Arial" w:cs="Arial"/>
          <w:sz w:val="20"/>
          <w:szCs w:val="22"/>
          <w:lang w:eastAsia="en-US"/>
        </w:rPr>
      </w:pPr>
    </w:p>
    <w:p w:rsidR="00273491" w:rsidRPr="00273491" w:rsidRDefault="00273491" w:rsidP="00273491">
      <w:pPr>
        <w:rPr>
          <w:rFonts w:ascii="Arial" w:hAnsi="Arial" w:cs="Arial"/>
          <w:sz w:val="20"/>
          <w:szCs w:val="20"/>
          <w:lang w:eastAsia="en-US"/>
        </w:rPr>
      </w:pPr>
    </w:p>
    <w:p w:rsidR="00273491" w:rsidRDefault="00273491" w:rsidP="00296057">
      <w:pPr>
        <w:jc w:val="both"/>
        <w:rPr>
          <w:rFonts w:ascii="Arial" w:hAnsi="Arial" w:cs="Arial"/>
          <w:color w:val="002060"/>
          <w:sz w:val="20"/>
          <w:szCs w:val="20"/>
        </w:rPr>
      </w:pPr>
    </w:p>
    <w:sectPr w:rsidR="00273491">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6B" w:rsidRDefault="00AE0C6B" w:rsidP="00AE0C6B">
      <w:r>
        <w:separator/>
      </w:r>
    </w:p>
  </w:endnote>
  <w:endnote w:type="continuationSeparator" w:id="0">
    <w:p w:rsidR="00AE0C6B" w:rsidRDefault="00AE0C6B" w:rsidP="00AE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6B" w:rsidRDefault="00AE0C6B" w:rsidP="00AE0C6B">
      <w:r>
        <w:separator/>
      </w:r>
    </w:p>
  </w:footnote>
  <w:footnote w:type="continuationSeparator" w:id="0">
    <w:p w:rsidR="00AE0C6B" w:rsidRDefault="00AE0C6B" w:rsidP="00AE0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6B" w:rsidRPr="00AE0C6B" w:rsidRDefault="00AE0C6B" w:rsidP="00AE0C6B">
    <w:pPr>
      <w:tabs>
        <w:tab w:val="center" w:pos="4819"/>
        <w:tab w:val="right" w:pos="9071"/>
      </w:tabs>
      <w:jc w:val="center"/>
      <w:rPr>
        <w:rFonts w:ascii="Arial" w:hAnsi="Arial" w:cs="Arial"/>
        <w:sz w:val="22"/>
        <w:szCs w:val="20"/>
        <w:lang w:eastAsia="en-US"/>
      </w:rPr>
    </w:pPr>
    <w:r w:rsidRPr="00AE0C6B">
      <w:rPr>
        <w:rFonts w:ascii="Arial" w:hAnsi="Arial" w:cs="Arial"/>
        <w:b/>
        <w:bCs/>
        <w:sz w:val="28"/>
        <w:szCs w:val="28"/>
        <w:lang w:eastAsia="en-US"/>
      </w:rPr>
      <w:t>mittelstandsdepesche 0</w:t>
    </w:r>
    <w:r>
      <w:rPr>
        <w:rFonts w:ascii="Arial" w:hAnsi="Arial" w:cs="Arial"/>
        <w:b/>
        <w:bCs/>
        <w:sz w:val="28"/>
        <w:szCs w:val="28"/>
        <w:lang w:eastAsia="en-US"/>
      </w:rPr>
      <w:t>4</w:t>
    </w:r>
    <w:r w:rsidRPr="00AE0C6B">
      <w:rPr>
        <w:rFonts w:ascii="Arial" w:hAnsi="Arial" w:cs="Arial"/>
        <w:b/>
        <w:bCs/>
        <w:sz w:val="28"/>
        <w:szCs w:val="28"/>
        <w:lang w:eastAsia="en-US"/>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77303"/>
    <w:multiLevelType w:val="multilevel"/>
    <w:tmpl w:val="F7D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136A"/>
    <w:multiLevelType w:val="multilevel"/>
    <w:tmpl w:val="E740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82D38"/>
    <w:multiLevelType w:val="multilevel"/>
    <w:tmpl w:val="E432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663466"/>
    <w:multiLevelType w:val="multilevel"/>
    <w:tmpl w:val="B606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86515F"/>
    <w:multiLevelType w:val="multilevel"/>
    <w:tmpl w:val="C6DE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EF"/>
    <w:rsid w:val="00017B0E"/>
    <w:rsid w:val="00273491"/>
    <w:rsid w:val="00296057"/>
    <w:rsid w:val="00741CE8"/>
    <w:rsid w:val="009837EF"/>
    <w:rsid w:val="00AE0C6B"/>
    <w:rsid w:val="00B90504"/>
    <w:rsid w:val="00DE2F90"/>
    <w:rsid w:val="00FD03ED"/>
    <w:rsid w:val="00FE7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0D2E6-19FB-48B4-9F41-070AAE27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37EF"/>
    <w:pPr>
      <w:spacing w:after="0" w:line="240" w:lineRule="auto"/>
    </w:pPr>
    <w:rPr>
      <w:rFonts w:ascii="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2960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semiHidden/>
    <w:unhideWhenUsed/>
    <w:qFormat/>
    <w:rsid w:val="009837EF"/>
    <w:pPr>
      <w:spacing w:after="75" w:line="240" w:lineRule="atLeast"/>
      <w:outlineLvl w:val="2"/>
    </w:pPr>
    <w:rPr>
      <w:b/>
      <w:bCs/>
    </w:rPr>
  </w:style>
  <w:style w:type="paragraph" w:styleId="berschrift4">
    <w:name w:val="heading 4"/>
    <w:basedOn w:val="Standard"/>
    <w:link w:val="berschrift4Zchn"/>
    <w:uiPriority w:val="9"/>
    <w:semiHidden/>
    <w:unhideWhenUsed/>
    <w:qFormat/>
    <w:rsid w:val="009837EF"/>
    <w:pPr>
      <w:spacing w:after="150"/>
      <w:outlineLvl w:val="3"/>
    </w:pPr>
    <w:rPr>
      <w:color w:val="666666"/>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9837EF"/>
    <w:rPr>
      <w:rFonts w:ascii="Times New Roman" w:hAnsi="Times New Roman" w:cs="Times New Roman"/>
      <w:b/>
      <w:bCs/>
      <w:sz w:val="24"/>
      <w:szCs w:val="24"/>
      <w:lang w:eastAsia="de-DE"/>
    </w:rPr>
  </w:style>
  <w:style w:type="character" w:customStyle="1" w:styleId="berschrift4Zchn">
    <w:name w:val="Überschrift 4 Zchn"/>
    <w:basedOn w:val="Absatz-Standardschriftart"/>
    <w:link w:val="berschrift4"/>
    <w:uiPriority w:val="9"/>
    <w:semiHidden/>
    <w:rsid w:val="009837EF"/>
    <w:rPr>
      <w:rFonts w:ascii="Times New Roman" w:hAnsi="Times New Roman" w:cs="Times New Roman"/>
      <w:color w:val="666666"/>
      <w:sz w:val="21"/>
      <w:szCs w:val="21"/>
      <w:lang w:eastAsia="de-DE"/>
    </w:rPr>
  </w:style>
  <w:style w:type="character" w:styleId="Hyperlink">
    <w:name w:val="Hyperlink"/>
    <w:basedOn w:val="Absatz-Standardschriftart"/>
    <w:uiPriority w:val="99"/>
    <w:unhideWhenUsed/>
    <w:rsid w:val="00FD03ED"/>
    <w:rPr>
      <w:i/>
      <w:iCs/>
      <w:color w:val="000000"/>
      <w:u w:val="single"/>
    </w:rPr>
  </w:style>
  <w:style w:type="paragraph" w:styleId="Kopfzeile">
    <w:name w:val="header"/>
    <w:basedOn w:val="Standard"/>
    <w:link w:val="KopfzeileZchn"/>
    <w:uiPriority w:val="99"/>
    <w:unhideWhenUsed/>
    <w:rsid w:val="00AE0C6B"/>
    <w:pPr>
      <w:tabs>
        <w:tab w:val="center" w:pos="4536"/>
        <w:tab w:val="right" w:pos="9072"/>
      </w:tabs>
    </w:pPr>
  </w:style>
  <w:style w:type="character" w:customStyle="1" w:styleId="KopfzeileZchn">
    <w:name w:val="Kopfzeile Zchn"/>
    <w:basedOn w:val="Absatz-Standardschriftart"/>
    <w:link w:val="Kopfzeile"/>
    <w:uiPriority w:val="99"/>
    <w:rsid w:val="00AE0C6B"/>
    <w:rPr>
      <w:rFonts w:ascii="Times New Roman" w:hAnsi="Times New Roman" w:cs="Times New Roman"/>
      <w:sz w:val="24"/>
      <w:szCs w:val="24"/>
      <w:lang w:eastAsia="de-DE"/>
    </w:rPr>
  </w:style>
  <w:style w:type="paragraph" w:styleId="Fuzeile">
    <w:name w:val="footer"/>
    <w:basedOn w:val="Standard"/>
    <w:link w:val="FuzeileZchn"/>
    <w:uiPriority w:val="99"/>
    <w:unhideWhenUsed/>
    <w:rsid w:val="00AE0C6B"/>
    <w:pPr>
      <w:tabs>
        <w:tab w:val="center" w:pos="4536"/>
        <w:tab w:val="right" w:pos="9072"/>
      </w:tabs>
    </w:pPr>
  </w:style>
  <w:style w:type="character" w:customStyle="1" w:styleId="FuzeileZchn">
    <w:name w:val="Fußzeile Zchn"/>
    <w:basedOn w:val="Absatz-Standardschriftart"/>
    <w:link w:val="Fuzeile"/>
    <w:uiPriority w:val="99"/>
    <w:rsid w:val="00AE0C6B"/>
    <w:rPr>
      <w:rFonts w:ascii="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296057"/>
    <w:rPr>
      <w:rFonts w:asciiTheme="majorHAnsi" w:eastAsiaTheme="majorEastAsia" w:hAnsiTheme="majorHAnsi" w:cstheme="majorBidi"/>
      <w:color w:val="2E74B5" w:themeColor="accent1" w:themeShade="BF"/>
      <w:sz w:val="26"/>
      <w:szCs w:val="26"/>
      <w:lang w:eastAsia="de-DE"/>
    </w:rPr>
  </w:style>
  <w:style w:type="character" w:styleId="Fett">
    <w:name w:val="Strong"/>
    <w:basedOn w:val="Absatz-Standardschriftart"/>
    <w:uiPriority w:val="22"/>
    <w:qFormat/>
    <w:rsid w:val="00296057"/>
    <w:rPr>
      <w:b/>
      <w:bCs/>
    </w:rPr>
  </w:style>
  <w:style w:type="character" w:customStyle="1" w:styleId="doclink">
    <w:name w:val="doclink"/>
    <w:basedOn w:val="Absatz-Standardschriftart"/>
    <w:rsid w:val="00296057"/>
  </w:style>
  <w:style w:type="paragraph" w:styleId="StandardWeb">
    <w:name w:val="Normal (Web)"/>
    <w:basedOn w:val="Standard"/>
    <w:uiPriority w:val="99"/>
    <w:semiHidden/>
    <w:unhideWhenUsed/>
    <w:rsid w:val="0029605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13996">
      <w:bodyDiv w:val="1"/>
      <w:marLeft w:val="0"/>
      <w:marRight w:val="0"/>
      <w:marTop w:val="0"/>
      <w:marBottom w:val="0"/>
      <w:divBdr>
        <w:top w:val="none" w:sz="0" w:space="0" w:color="auto"/>
        <w:left w:val="none" w:sz="0" w:space="0" w:color="auto"/>
        <w:bottom w:val="none" w:sz="0" w:space="0" w:color="auto"/>
        <w:right w:val="none" w:sz="0" w:space="0" w:color="auto"/>
      </w:divBdr>
      <w:divsChild>
        <w:div w:id="1897934509">
          <w:marLeft w:val="0"/>
          <w:marRight w:val="0"/>
          <w:marTop w:val="0"/>
          <w:marBottom w:val="0"/>
          <w:divBdr>
            <w:top w:val="none" w:sz="0" w:space="0" w:color="auto"/>
            <w:left w:val="none" w:sz="0" w:space="0" w:color="auto"/>
            <w:bottom w:val="none" w:sz="0" w:space="0" w:color="auto"/>
            <w:right w:val="none" w:sz="0" w:space="0" w:color="auto"/>
          </w:divBdr>
          <w:divsChild>
            <w:div w:id="1603030318">
              <w:marLeft w:val="0"/>
              <w:marRight w:val="0"/>
              <w:marTop w:val="0"/>
              <w:marBottom w:val="0"/>
              <w:divBdr>
                <w:top w:val="none" w:sz="0" w:space="0" w:color="auto"/>
                <w:left w:val="none" w:sz="0" w:space="0" w:color="auto"/>
                <w:bottom w:val="none" w:sz="0" w:space="0" w:color="auto"/>
                <w:right w:val="none" w:sz="0" w:space="0" w:color="auto"/>
              </w:divBdr>
              <w:divsChild>
                <w:div w:id="2111968890">
                  <w:marLeft w:val="0"/>
                  <w:marRight w:val="0"/>
                  <w:marTop w:val="0"/>
                  <w:marBottom w:val="0"/>
                  <w:divBdr>
                    <w:top w:val="none" w:sz="0" w:space="0" w:color="auto"/>
                    <w:left w:val="none" w:sz="0" w:space="0" w:color="auto"/>
                    <w:bottom w:val="none" w:sz="0" w:space="0" w:color="auto"/>
                    <w:right w:val="none" w:sz="0" w:space="0" w:color="auto"/>
                  </w:divBdr>
                  <w:divsChild>
                    <w:div w:id="411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4577">
          <w:marLeft w:val="0"/>
          <w:marRight w:val="0"/>
          <w:marTop w:val="0"/>
          <w:marBottom w:val="0"/>
          <w:divBdr>
            <w:top w:val="none" w:sz="0" w:space="0" w:color="auto"/>
            <w:left w:val="none" w:sz="0" w:space="0" w:color="auto"/>
            <w:bottom w:val="none" w:sz="0" w:space="0" w:color="auto"/>
            <w:right w:val="none" w:sz="0" w:space="0" w:color="auto"/>
          </w:divBdr>
        </w:div>
        <w:div w:id="4795365">
          <w:marLeft w:val="0"/>
          <w:marRight w:val="0"/>
          <w:marTop w:val="0"/>
          <w:marBottom w:val="0"/>
          <w:divBdr>
            <w:top w:val="none" w:sz="0" w:space="0" w:color="auto"/>
            <w:left w:val="none" w:sz="0" w:space="0" w:color="auto"/>
            <w:bottom w:val="none" w:sz="0" w:space="0" w:color="auto"/>
            <w:right w:val="none" w:sz="0" w:space="0" w:color="auto"/>
          </w:divBdr>
          <w:divsChild>
            <w:div w:id="1613171679">
              <w:marLeft w:val="0"/>
              <w:marRight w:val="0"/>
              <w:marTop w:val="0"/>
              <w:marBottom w:val="0"/>
              <w:divBdr>
                <w:top w:val="none" w:sz="0" w:space="0" w:color="auto"/>
                <w:left w:val="none" w:sz="0" w:space="0" w:color="auto"/>
                <w:bottom w:val="none" w:sz="0" w:space="0" w:color="auto"/>
                <w:right w:val="none" w:sz="0" w:space="0" w:color="auto"/>
              </w:divBdr>
              <w:divsChild>
                <w:div w:id="518668703">
                  <w:marLeft w:val="0"/>
                  <w:marRight w:val="0"/>
                  <w:marTop w:val="0"/>
                  <w:marBottom w:val="0"/>
                  <w:divBdr>
                    <w:top w:val="none" w:sz="0" w:space="0" w:color="auto"/>
                    <w:left w:val="none" w:sz="0" w:space="0" w:color="auto"/>
                    <w:bottom w:val="none" w:sz="0" w:space="0" w:color="auto"/>
                    <w:right w:val="none" w:sz="0" w:space="0" w:color="auto"/>
                  </w:divBdr>
                </w:div>
                <w:div w:id="976837527">
                  <w:marLeft w:val="0"/>
                  <w:marRight w:val="0"/>
                  <w:marTop w:val="0"/>
                  <w:marBottom w:val="0"/>
                  <w:divBdr>
                    <w:top w:val="none" w:sz="0" w:space="0" w:color="auto"/>
                    <w:left w:val="none" w:sz="0" w:space="0" w:color="auto"/>
                    <w:bottom w:val="none" w:sz="0" w:space="0" w:color="auto"/>
                    <w:right w:val="none" w:sz="0" w:space="0" w:color="auto"/>
                  </w:divBdr>
                  <w:divsChild>
                    <w:div w:id="2700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01728">
      <w:bodyDiv w:val="1"/>
      <w:marLeft w:val="0"/>
      <w:marRight w:val="0"/>
      <w:marTop w:val="0"/>
      <w:marBottom w:val="0"/>
      <w:divBdr>
        <w:top w:val="none" w:sz="0" w:space="0" w:color="auto"/>
        <w:left w:val="none" w:sz="0" w:space="0" w:color="auto"/>
        <w:bottom w:val="none" w:sz="0" w:space="0" w:color="auto"/>
        <w:right w:val="none" w:sz="0" w:space="0" w:color="auto"/>
      </w:divBdr>
      <w:divsChild>
        <w:div w:id="1009137871">
          <w:marLeft w:val="0"/>
          <w:marRight w:val="0"/>
          <w:marTop w:val="0"/>
          <w:marBottom w:val="0"/>
          <w:divBdr>
            <w:top w:val="none" w:sz="0" w:space="0" w:color="auto"/>
            <w:left w:val="none" w:sz="0" w:space="0" w:color="auto"/>
            <w:bottom w:val="none" w:sz="0" w:space="0" w:color="auto"/>
            <w:right w:val="none" w:sz="0" w:space="0" w:color="auto"/>
          </w:divBdr>
          <w:divsChild>
            <w:div w:id="388724012">
              <w:marLeft w:val="0"/>
              <w:marRight w:val="0"/>
              <w:marTop w:val="0"/>
              <w:marBottom w:val="0"/>
              <w:divBdr>
                <w:top w:val="none" w:sz="0" w:space="0" w:color="auto"/>
                <w:left w:val="none" w:sz="0" w:space="0" w:color="auto"/>
                <w:bottom w:val="none" w:sz="0" w:space="0" w:color="auto"/>
                <w:right w:val="none" w:sz="0" w:space="0" w:color="auto"/>
              </w:divBdr>
              <w:divsChild>
                <w:div w:id="1854876262">
                  <w:marLeft w:val="0"/>
                  <w:marRight w:val="0"/>
                  <w:marTop w:val="0"/>
                  <w:marBottom w:val="0"/>
                  <w:divBdr>
                    <w:top w:val="none" w:sz="0" w:space="0" w:color="auto"/>
                    <w:left w:val="none" w:sz="0" w:space="0" w:color="auto"/>
                    <w:bottom w:val="none" w:sz="0" w:space="0" w:color="auto"/>
                    <w:right w:val="none" w:sz="0" w:space="0" w:color="auto"/>
                  </w:divBdr>
                  <w:divsChild>
                    <w:div w:id="1408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8229">
          <w:marLeft w:val="0"/>
          <w:marRight w:val="0"/>
          <w:marTop w:val="0"/>
          <w:marBottom w:val="0"/>
          <w:divBdr>
            <w:top w:val="none" w:sz="0" w:space="0" w:color="auto"/>
            <w:left w:val="none" w:sz="0" w:space="0" w:color="auto"/>
            <w:bottom w:val="none" w:sz="0" w:space="0" w:color="auto"/>
            <w:right w:val="none" w:sz="0" w:space="0" w:color="auto"/>
          </w:divBdr>
        </w:div>
        <w:div w:id="217939751">
          <w:marLeft w:val="0"/>
          <w:marRight w:val="0"/>
          <w:marTop w:val="0"/>
          <w:marBottom w:val="0"/>
          <w:divBdr>
            <w:top w:val="none" w:sz="0" w:space="0" w:color="auto"/>
            <w:left w:val="none" w:sz="0" w:space="0" w:color="auto"/>
            <w:bottom w:val="none" w:sz="0" w:space="0" w:color="auto"/>
            <w:right w:val="none" w:sz="0" w:space="0" w:color="auto"/>
          </w:divBdr>
          <w:divsChild>
            <w:div w:id="978847000">
              <w:marLeft w:val="0"/>
              <w:marRight w:val="0"/>
              <w:marTop w:val="0"/>
              <w:marBottom w:val="0"/>
              <w:divBdr>
                <w:top w:val="none" w:sz="0" w:space="0" w:color="auto"/>
                <w:left w:val="none" w:sz="0" w:space="0" w:color="auto"/>
                <w:bottom w:val="none" w:sz="0" w:space="0" w:color="auto"/>
                <w:right w:val="none" w:sz="0" w:space="0" w:color="auto"/>
              </w:divBdr>
              <w:divsChild>
                <w:div w:id="725420935">
                  <w:marLeft w:val="-300"/>
                  <w:marRight w:val="0"/>
                  <w:marTop w:val="60"/>
                  <w:marBottom w:val="0"/>
                  <w:divBdr>
                    <w:top w:val="none" w:sz="0" w:space="0" w:color="auto"/>
                    <w:left w:val="none" w:sz="0" w:space="0" w:color="auto"/>
                    <w:bottom w:val="none" w:sz="0" w:space="0" w:color="auto"/>
                    <w:right w:val="none" w:sz="0" w:space="0" w:color="auto"/>
                  </w:divBdr>
                </w:div>
              </w:divsChild>
            </w:div>
            <w:div w:id="1476069664">
              <w:marLeft w:val="0"/>
              <w:marRight w:val="0"/>
              <w:marTop w:val="0"/>
              <w:marBottom w:val="0"/>
              <w:divBdr>
                <w:top w:val="none" w:sz="0" w:space="0" w:color="auto"/>
                <w:left w:val="none" w:sz="0" w:space="0" w:color="auto"/>
                <w:bottom w:val="none" w:sz="0" w:space="0" w:color="auto"/>
                <w:right w:val="none" w:sz="0" w:space="0" w:color="auto"/>
              </w:divBdr>
              <w:divsChild>
                <w:div w:id="1938368819">
                  <w:marLeft w:val="0"/>
                  <w:marRight w:val="0"/>
                  <w:marTop w:val="0"/>
                  <w:marBottom w:val="0"/>
                  <w:divBdr>
                    <w:top w:val="none" w:sz="0" w:space="0" w:color="auto"/>
                    <w:left w:val="none" w:sz="0" w:space="0" w:color="auto"/>
                    <w:bottom w:val="none" w:sz="0" w:space="0" w:color="auto"/>
                    <w:right w:val="none" w:sz="0" w:space="0" w:color="auto"/>
                  </w:divBdr>
                </w:div>
                <w:div w:id="416290766">
                  <w:marLeft w:val="0"/>
                  <w:marRight w:val="0"/>
                  <w:marTop w:val="0"/>
                  <w:marBottom w:val="0"/>
                  <w:divBdr>
                    <w:top w:val="none" w:sz="0" w:space="0" w:color="auto"/>
                    <w:left w:val="none" w:sz="0" w:space="0" w:color="auto"/>
                    <w:bottom w:val="none" w:sz="0" w:space="0" w:color="auto"/>
                    <w:right w:val="none" w:sz="0" w:space="0" w:color="auto"/>
                  </w:divBdr>
                  <w:divsChild>
                    <w:div w:id="4384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36279">
      <w:bodyDiv w:val="1"/>
      <w:marLeft w:val="0"/>
      <w:marRight w:val="0"/>
      <w:marTop w:val="0"/>
      <w:marBottom w:val="0"/>
      <w:divBdr>
        <w:top w:val="none" w:sz="0" w:space="0" w:color="auto"/>
        <w:left w:val="none" w:sz="0" w:space="0" w:color="auto"/>
        <w:bottom w:val="none" w:sz="0" w:space="0" w:color="auto"/>
        <w:right w:val="none" w:sz="0" w:space="0" w:color="auto"/>
      </w:divBdr>
    </w:div>
    <w:div w:id="1087966133">
      <w:bodyDiv w:val="1"/>
      <w:marLeft w:val="0"/>
      <w:marRight w:val="0"/>
      <w:marTop w:val="0"/>
      <w:marBottom w:val="0"/>
      <w:divBdr>
        <w:top w:val="none" w:sz="0" w:space="0" w:color="auto"/>
        <w:left w:val="none" w:sz="0" w:space="0" w:color="auto"/>
        <w:bottom w:val="none" w:sz="0" w:space="0" w:color="auto"/>
        <w:right w:val="none" w:sz="0" w:space="0" w:color="auto"/>
      </w:divBdr>
      <w:divsChild>
        <w:div w:id="220216862">
          <w:marLeft w:val="0"/>
          <w:marRight w:val="0"/>
          <w:marTop w:val="0"/>
          <w:marBottom w:val="0"/>
          <w:divBdr>
            <w:top w:val="none" w:sz="0" w:space="0" w:color="auto"/>
            <w:left w:val="none" w:sz="0" w:space="0" w:color="auto"/>
            <w:bottom w:val="none" w:sz="0" w:space="0" w:color="auto"/>
            <w:right w:val="none" w:sz="0" w:space="0" w:color="auto"/>
          </w:divBdr>
          <w:divsChild>
            <w:div w:id="584412251">
              <w:marLeft w:val="0"/>
              <w:marRight w:val="0"/>
              <w:marTop w:val="0"/>
              <w:marBottom w:val="0"/>
              <w:divBdr>
                <w:top w:val="none" w:sz="0" w:space="0" w:color="auto"/>
                <w:left w:val="none" w:sz="0" w:space="0" w:color="auto"/>
                <w:bottom w:val="none" w:sz="0" w:space="0" w:color="auto"/>
                <w:right w:val="none" w:sz="0" w:space="0" w:color="auto"/>
              </w:divBdr>
              <w:divsChild>
                <w:div w:id="709106868">
                  <w:marLeft w:val="0"/>
                  <w:marRight w:val="0"/>
                  <w:marTop w:val="0"/>
                  <w:marBottom w:val="0"/>
                  <w:divBdr>
                    <w:top w:val="none" w:sz="0" w:space="0" w:color="auto"/>
                    <w:left w:val="none" w:sz="0" w:space="0" w:color="auto"/>
                    <w:bottom w:val="none" w:sz="0" w:space="0" w:color="auto"/>
                    <w:right w:val="none" w:sz="0" w:space="0" w:color="auto"/>
                  </w:divBdr>
                  <w:divsChild>
                    <w:div w:id="9472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29916">
          <w:marLeft w:val="0"/>
          <w:marRight w:val="0"/>
          <w:marTop w:val="0"/>
          <w:marBottom w:val="0"/>
          <w:divBdr>
            <w:top w:val="none" w:sz="0" w:space="0" w:color="auto"/>
            <w:left w:val="none" w:sz="0" w:space="0" w:color="auto"/>
            <w:bottom w:val="none" w:sz="0" w:space="0" w:color="auto"/>
            <w:right w:val="none" w:sz="0" w:space="0" w:color="auto"/>
          </w:divBdr>
        </w:div>
        <w:div w:id="957756174">
          <w:marLeft w:val="0"/>
          <w:marRight w:val="0"/>
          <w:marTop w:val="0"/>
          <w:marBottom w:val="0"/>
          <w:divBdr>
            <w:top w:val="none" w:sz="0" w:space="0" w:color="auto"/>
            <w:left w:val="none" w:sz="0" w:space="0" w:color="auto"/>
            <w:bottom w:val="none" w:sz="0" w:space="0" w:color="auto"/>
            <w:right w:val="none" w:sz="0" w:space="0" w:color="auto"/>
          </w:divBdr>
          <w:divsChild>
            <w:div w:id="699090126">
              <w:marLeft w:val="0"/>
              <w:marRight w:val="0"/>
              <w:marTop w:val="0"/>
              <w:marBottom w:val="0"/>
              <w:divBdr>
                <w:top w:val="none" w:sz="0" w:space="0" w:color="auto"/>
                <w:left w:val="none" w:sz="0" w:space="0" w:color="auto"/>
                <w:bottom w:val="none" w:sz="0" w:space="0" w:color="auto"/>
                <w:right w:val="none" w:sz="0" w:space="0" w:color="auto"/>
              </w:divBdr>
              <w:divsChild>
                <w:div w:id="1929800588">
                  <w:marLeft w:val="0"/>
                  <w:marRight w:val="0"/>
                  <w:marTop w:val="0"/>
                  <w:marBottom w:val="0"/>
                  <w:divBdr>
                    <w:top w:val="none" w:sz="0" w:space="0" w:color="auto"/>
                    <w:left w:val="none" w:sz="0" w:space="0" w:color="auto"/>
                    <w:bottom w:val="none" w:sz="0" w:space="0" w:color="auto"/>
                    <w:right w:val="none" w:sz="0" w:space="0" w:color="auto"/>
                  </w:divBdr>
                </w:div>
                <w:div w:id="1270896781">
                  <w:marLeft w:val="0"/>
                  <w:marRight w:val="0"/>
                  <w:marTop w:val="0"/>
                  <w:marBottom w:val="0"/>
                  <w:divBdr>
                    <w:top w:val="none" w:sz="0" w:space="0" w:color="auto"/>
                    <w:left w:val="none" w:sz="0" w:space="0" w:color="auto"/>
                    <w:bottom w:val="none" w:sz="0" w:space="0" w:color="auto"/>
                    <w:right w:val="none" w:sz="0" w:space="0" w:color="auto"/>
                  </w:divBdr>
                  <w:divsChild>
                    <w:div w:id="19545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79398">
      <w:bodyDiv w:val="1"/>
      <w:marLeft w:val="0"/>
      <w:marRight w:val="0"/>
      <w:marTop w:val="0"/>
      <w:marBottom w:val="0"/>
      <w:divBdr>
        <w:top w:val="none" w:sz="0" w:space="0" w:color="auto"/>
        <w:left w:val="none" w:sz="0" w:space="0" w:color="auto"/>
        <w:bottom w:val="none" w:sz="0" w:space="0" w:color="auto"/>
        <w:right w:val="none" w:sz="0" w:space="0" w:color="auto"/>
      </w:divBdr>
    </w:div>
    <w:div w:id="1259018294">
      <w:bodyDiv w:val="1"/>
      <w:marLeft w:val="0"/>
      <w:marRight w:val="0"/>
      <w:marTop w:val="0"/>
      <w:marBottom w:val="0"/>
      <w:divBdr>
        <w:top w:val="none" w:sz="0" w:space="0" w:color="auto"/>
        <w:left w:val="none" w:sz="0" w:space="0" w:color="auto"/>
        <w:bottom w:val="none" w:sz="0" w:space="0" w:color="auto"/>
        <w:right w:val="none" w:sz="0" w:space="0" w:color="auto"/>
      </w:divBdr>
    </w:div>
    <w:div w:id="1284533998">
      <w:bodyDiv w:val="1"/>
      <w:marLeft w:val="0"/>
      <w:marRight w:val="0"/>
      <w:marTop w:val="0"/>
      <w:marBottom w:val="0"/>
      <w:divBdr>
        <w:top w:val="none" w:sz="0" w:space="0" w:color="auto"/>
        <w:left w:val="none" w:sz="0" w:space="0" w:color="auto"/>
        <w:bottom w:val="none" w:sz="0" w:space="0" w:color="auto"/>
        <w:right w:val="none" w:sz="0" w:space="0" w:color="auto"/>
      </w:divBdr>
      <w:divsChild>
        <w:div w:id="1763601750">
          <w:marLeft w:val="0"/>
          <w:marRight w:val="0"/>
          <w:marTop w:val="0"/>
          <w:marBottom w:val="0"/>
          <w:divBdr>
            <w:top w:val="none" w:sz="0" w:space="0" w:color="auto"/>
            <w:left w:val="none" w:sz="0" w:space="0" w:color="auto"/>
            <w:bottom w:val="none" w:sz="0" w:space="0" w:color="auto"/>
            <w:right w:val="none" w:sz="0" w:space="0" w:color="auto"/>
          </w:divBdr>
          <w:divsChild>
            <w:div w:id="1832524608">
              <w:marLeft w:val="0"/>
              <w:marRight w:val="0"/>
              <w:marTop w:val="0"/>
              <w:marBottom w:val="0"/>
              <w:divBdr>
                <w:top w:val="none" w:sz="0" w:space="0" w:color="auto"/>
                <w:left w:val="none" w:sz="0" w:space="0" w:color="auto"/>
                <w:bottom w:val="none" w:sz="0" w:space="0" w:color="auto"/>
                <w:right w:val="none" w:sz="0" w:space="0" w:color="auto"/>
              </w:divBdr>
              <w:divsChild>
                <w:div w:id="802500557">
                  <w:marLeft w:val="0"/>
                  <w:marRight w:val="0"/>
                  <w:marTop w:val="0"/>
                  <w:marBottom w:val="0"/>
                  <w:divBdr>
                    <w:top w:val="none" w:sz="0" w:space="0" w:color="auto"/>
                    <w:left w:val="none" w:sz="0" w:space="0" w:color="auto"/>
                    <w:bottom w:val="none" w:sz="0" w:space="0" w:color="auto"/>
                    <w:right w:val="none" w:sz="0" w:space="0" w:color="auto"/>
                  </w:divBdr>
                  <w:divsChild>
                    <w:div w:id="11793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9638">
          <w:marLeft w:val="0"/>
          <w:marRight w:val="0"/>
          <w:marTop w:val="0"/>
          <w:marBottom w:val="0"/>
          <w:divBdr>
            <w:top w:val="none" w:sz="0" w:space="0" w:color="auto"/>
            <w:left w:val="none" w:sz="0" w:space="0" w:color="auto"/>
            <w:bottom w:val="none" w:sz="0" w:space="0" w:color="auto"/>
            <w:right w:val="none" w:sz="0" w:space="0" w:color="auto"/>
          </w:divBdr>
        </w:div>
        <w:div w:id="1532109281">
          <w:marLeft w:val="0"/>
          <w:marRight w:val="0"/>
          <w:marTop w:val="0"/>
          <w:marBottom w:val="0"/>
          <w:divBdr>
            <w:top w:val="none" w:sz="0" w:space="0" w:color="auto"/>
            <w:left w:val="none" w:sz="0" w:space="0" w:color="auto"/>
            <w:bottom w:val="none" w:sz="0" w:space="0" w:color="auto"/>
            <w:right w:val="none" w:sz="0" w:space="0" w:color="auto"/>
          </w:divBdr>
          <w:divsChild>
            <w:div w:id="934090587">
              <w:marLeft w:val="0"/>
              <w:marRight w:val="0"/>
              <w:marTop w:val="0"/>
              <w:marBottom w:val="0"/>
              <w:divBdr>
                <w:top w:val="none" w:sz="0" w:space="0" w:color="auto"/>
                <w:left w:val="none" w:sz="0" w:space="0" w:color="auto"/>
                <w:bottom w:val="none" w:sz="0" w:space="0" w:color="auto"/>
                <w:right w:val="none" w:sz="0" w:space="0" w:color="auto"/>
              </w:divBdr>
              <w:divsChild>
                <w:div w:id="869297424">
                  <w:marLeft w:val="-300"/>
                  <w:marRight w:val="0"/>
                  <w:marTop w:val="60"/>
                  <w:marBottom w:val="0"/>
                  <w:divBdr>
                    <w:top w:val="none" w:sz="0" w:space="0" w:color="auto"/>
                    <w:left w:val="none" w:sz="0" w:space="0" w:color="auto"/>
                    <w:bottom w:val="none" w:sz="0" w:space="0" w:color="auto"/>
                    <w:right w:val="none" w:sz="0" w:space="0" w:color="auto"/>
                  </w:divBdr>
                </w:div>
              </w:divsChild>
            </w:div>
            <w:div w:id="1561600048">
              <w:marLeft w:val="0"/>
              <w:marRight w:val="0"/>
              <w:marTop w:val="0"/>
              <w:marBottom w:val="0"/>
              <w:divBdr>
                <w:top w:val="none" w:sz="0" w:space="0" w:color="auto"/>
                <w:left w:val="none" w:sz="0" w:space="0" w:color="auto"/>
                <w:bottom w:val="none" w:sz="0" w:space="0" w:color="auto"/>
                <w:right w:val="none" w:sz="0" w:space="0" w:color="auto"/>
              </w:divBdr>
              <w:divsChild>
                <w:div w:id="274025766">
                  <w:marLeft w:val="0"/>
                  <w:marRight w:val="0"/>
                  <w:marTop w:val="0"/>
                  <w:marBottom w:val="0"/>
                  <w:divBdr>
                    <w:top w:val="none" w:sz="0" w:space="0" w:color="auto"/>
                    <w:left w:val="none" w:sz="0" w:space="0" w:color="auto"/>
                    <w:bottom w:val="none" w:sz="0" w:space="0" w:color="auto"/>
                    <w:right w:val="none" w:sz="0" w:space="0" w:color="auto"/>
                  </w:divBdr>
                </w:div>
                <w:div w:id="511724598">
                  <w:marLeft w:val="0"/>
                  <w:marRight w:val="0"/>
                  <w:marTop w:val="0"/>
                  <w:marBottom w:val="0"/>
                  <w:divBdr>
                    <w:top w:val="none" w:sz="0" w:space="0" w:color="auto"/>
                    <w:left w:val="none" w:sz="0" w:space="0" w:color="auto"/>
                    <w:bottom w:val="none" w:sz="0" w:space="0" w:color="auto"/>
                    <w:right w:val="none" w:sz="0" w:space="0" w:color="auto"/>
                  </w:divBdr>
                  <w:divsChild>
                    <w:div w:id="10913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19425">
      <w:bodyDiv w:val="1"/>
      <w:marLeft w:val="0"/>
      <w:marRight w:val="0"/>
      <w:marTop w:val="0"/>
      <w:marBottom w:val="0"/>
      <w:divBdr>
        <w:top w:val="none" w:sz="0" w:space="0" w:color="auto"/>
        <w:left w:val="none" w:sz="0" w:space="0" w:color="auto"/>
        <w:bottom w:val="none" w:sz="0" w:space="0" w:color="auto"/>
        <w:right w:val="none" w:sz="0" w:space="0" w:color="auto"/>
      </w:divBdr>
    </w:div>
    <w:div w:id="1544945689">
      <w:bodyDiv w:val="1"/>
      <w:marLeft w:val="0"/>
      <w:marRight w:val="0"/>
      <w:marTop w:val="0"/>
      <w:marBottom w:val="0"/>
      <w:divBdr>
        <w:top w:val="none" w:sz="0" w:space="0" w:color="auto"/>
        <w:left w:val="none" w:sz="0" w:space="0" w:color="auto"/>
        <w:bottom w:val="none" w:sz="0" w:space="0" w:color="auto"/>
        <w:right w:val="none" w:sz="0" w:space="0" w:color="auto"/>
      </w:divBdr>
    </w:div>
    <w:div w:id="2044859777">
      <w:bodyDiv w:val="1"/>
      <w:marLeft w:val="0"/>
      <w:marRight w:val="0"/>
      <w:marTop w:val="0"/>
      <w:marBottom w:val="0"/>
      <w:divBdr>
        <w:top w:val="none" w:sz="0" w:space="0" w:color="auto"/>
        <w:left w:val="none" w:sz="0" w:space="0" w:color="auto"/>
        <w:bottom w:val="none" w:sz="0" w:space="0" w:color="auto"/>
        <w:right w:val="none" w:sz="0" w:space="0" w:color="auto"/>
      </w:divBdr>
      <w:divsChild>
        <w:div w:id="226694502">
          <w:marLeft w:val="0"/>
          <w:marRight w:val="0"/>
          <w:marTop w:val="0"/>
          <w:marBottom w:val="0"/>
          <w:divBdr>
            <w:top w:val="none" w:sz="0" w:space="0" w:color="auto"/>
            <w:left w:val="none" w:sz="0" w:space="0" w:color="auto"/>
            <w:bottom w:val="none" w:sz="0" w:space="0" w:color="auto"/>
            <w:right w:val="none" w:sz="0" w:space="0" w:color="auto"/>
          </w:divBdr>
          <w:divsChild>
            <w:div w:id="1953709784">
              <w:marLeft w:val="0"/>
              <w:marRight w:val="0"/>
              <w:marTop w:val="0"/>
              <w:marBottom w:val="0"/>
              <w:divBdr>
                <w:top w:val="none" w:sz="0" w:space="0" w:color="auto"/>
                <w:left w:val="none" w:sz="0" w:space="0" w:color="auto"/>
                <w:bottom w:val="none" w:sz="0" w:space="0" w:color="auto"/>
                <w:right w:val="none" w:sz="0" w:space="0" w:color="auto"/>
              </w:divBdr>
              <w:divsChild>
                <w:div w:id="1290552955">
                  <w:marLeft w:val="0"/>
                  <w:marRight w:val="0"/>
                  <w:marTop w:val="0"/>
                  <w:marBottom w:val="0"/>
                  <w:divBdr>
                    <w:top w:val="none" w:sz="0" w:space="0" w:color="auto"/>
                    <w:left w:val="none" w:sz="0" w:space="0" w:color="auto"/>
                    <w:bottom w:val="none" w:sz="0" w:space="0" w:color="auto"/>
                    <w:right w:val="none" w:sz="0" w:space="0" w:color="auto"/>
                  </w:divBdr>
                  <w:divsChild>
                    <w:div w:id="1791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61878">
          <w:marLeft w:val="0"/>
          <w:marRight w:val="0"/>
          <w:marTop w:val="0"/>
          <w:marBottom w:val="0"/>
          <w:divBdr>
            <w:top w:val="none" w:sz="0" w:space="0" w:color="auto"/>
            <w:left w:val="none" w:sz="0" w:space="0" w:color="auto"/>
            <w:bottom w:val="none" w:sz="0" w:space="0" w:color="auto"/>
            <w:right w:val="none" w:sz="0" w:space="0" w:color="auto"/>
          </w:divBdr>
        </w:div>
        <w:div w:id="65808854">
          <w:marLeft w:val="0"/>
          <w:marRight w:val="0"/>
          <w:marTop w:val="0"/>
          <w:marBottom w:val="0"/>
          <w:divBdr>
            <w:top w:val="none" w:sz="0" w:space="0" w:color="auto"/>
            <w:left w:val="none" w:sz="0" w:space="0" w:color="auto"/>
            <w:bottom w:val="none" w:sz="0" w:space="0" w:color="auto"/>
            <w:right w:val="none" w:sz="0" w:space="0" w:color="auto"/>
          </w:divBdr>
          <w:divsChild>
            <w:div w:id="1668553691">
              <w:marLeft w:val="0"/>
              <w:marRight w:val="0"/>
              <w:marTop w:val="0"/>
              <w:marBottom w:val="0"/>
              <w:divBdr>
                <w:top w:val="none" w:sz="0" w:space="0" w:color="auto"/>
                <w:left w:val="none" w:sz="0" w:space="0" w:color="auto"/>
                <w:bottom w:val="none" w:sz="0" w:space="0" w:color="auto"/>
                <w:right w:val="none" w:sz="0" w:space="0" w:color="auto"/>
              </w:divBdr>
              <w:divsChild>
                <w:div w:id="109663344">
                  <w:marLeft w:val="-300"/>
                  <w:marRight w:val="0"/>
                  <w:marTop w:val="60"/>
                  <w:marBottom w:val="0"/>
                  <w:divBdr>
                    <w:top w:val="none" w:sz="0" w:space="0" w:color="auto"/>
                    <w:left w:val="none" w:sz="0" w:space="0" w:color="auto"/>
                    <w:bottom w:val="none" w:sz="0" w:space="0" w:color="auto"/>
                    <w:right w:val="none" w:sz="0" w:space="0" w:color="auto"/>
                  </w:divBdr>
                </w:div>
              </w:divsChild>
            </w:div>
            <w:div w:id="394399315">
              <w:marLeft w:val="0"/>
              <w:marRight w:val="0"/>
              <w:marTop w:val="0"/>
              <w:marBottom w:val="0"/>
              <w:divBdr>
                <w:top w:val="none" w:sz="0" w:space="0" w:color="auto"/>
                <w:left w:val="none" w:sz="0" w:space="0" w:color="auto"/>
                <w:bottom w:val="none" w:sz="0" w:space="0" w:color="auto"/>
                <w:right w:val="none" w:sz="0" w:space="0" w:color="auto"/>
              </w:divBdr>
              <w:divsChild>
                <w:div w:id="594754459">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9598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drgaupp.de" TargetMode="External"/><Relationship Id="rId3" Type="http://schemas.openxmlformats.org/officeDocument/2006/relationships/settings" Target="settings.xml"/><Relationship Id="rId7" Type="http://schemas.openxmlformats.org/officeDocument/2006/relationships/hyperlink" Target="https://www.juris.de/r3/document/jlr-InfHygVHEV4P2/format/xsl/part/S?oi=NDX5TeBpaM&amp;sourceP=%7B%22source%22%3A%22Link%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7486</Characters>
  <Application>Microsoft Office Word</Application>
  <DocSecurity>0</DocSecurity>
  <Lines>575</Lines>
  <Paragraphs>407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5</cp:revision>
  <dcterms:created xsi:type="dcterms:W3CDTF">2020-03-31T11:42:00Z</dcterms:created>
  <dcterms:modified xsi:type="dcterms:W3CDTF">2020-04-28T17:26:00Z</dcterms:modified>
</cp:coreProperties>
</file>