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EEE" w:rsidRPr="00A27EEE" w:rsidRDefault="00A27EEE" w:rsidP="00A27EEE">
      <w:pPr>
        <w:tabs>
          <w:tab w:val="center" w:pos="4536"/>
          <w:tab w:val="right" w:pos="9072"/>
        </w:tabs>
        <w:spacing w:after="0" w:line="240" w:lineRule="auto"/>
        <w:jc w:val="right"/>
        <w:rPr>
          <w:rFonts w:ascii="Calibri" w:hAnsi="Calibri"/>
          <w:lang w:eastAsia="de-DE"/>
        </w:rPr>
      </w:pPr>
      <w:bookmarkStart w:id="0" w:name="2"/>
      <w:bookmarkStart w:id="1" w:name="9"/>
      <w:bookmarkStart w:id="2" w:name="_GoBack"/>
      <w:bookmarkEnd w:id="0"/>
      <w:bookmarkEnd w:id="1"/>
      <w:bookmarkEnd w:id="2"/>
      <w:r w:rsidRPr="00A27EEE">
        <w:rPr>
          <w:rFonts w:ascii="Arial" w:hAnsi="Arial" w:cs="Arial"/>
          <w:b/>
          <w:bCs/>
          <w:sz w:val="40"/>
          <w:szCs w:val="40"/>
          <w:lang w:eastAsia="de-DE"/>
        </w:rPr>
        <w:t>DASV</w:t>
      </w:r>
    </w:p>
    <w:p w:rsidR="00A27EEE" w:rsidRPr="00A27EEE" w:rsidRDefault="00A27EEE" w:rsidP="00A27EEE">
      <w:pPr>
        <w:spacing w:after="0" w:line="240" w:lineRule="auto"/>
        <w:jc w:val="right"/>
        <w:rPr>
          <w:rFonts w:ascii="Arial" w:hAnsi="Arial" w:cs="Arial"/>
          <w:sz w:val="20"/>
          <w:szCs w:val="20"/>
          <w:lang w:eastAsia="de-DE"/>
        </w:rPr>
      </w:pPr>
      <w:r w:rsidRPr="00A27EEE">
        <w:rPr>
          <w:rFonts w:ascii="Arial" w:hAnsi="Arial" w:cs="Arial"/>
          <w:sz w:val="20"/>
          <w:szCs w:val="20"/>
          <w:lang w:eastAsia="de-DE"/>
        </w:rPr>
        <w:t>Deutsche Anwalts- und</w:t>
      </w:r>
    </w:p>
    <w:p w:rsidR="00A27EEE" w:rsidRPr="00A27EEE" w:rsidRDefault="00A27EEE" w:rsidP="00A27EEE">
      <w:pPr>
        <w:spacing w:after="0" w:line="240" w:lineRule="auto"/>
        <w:jc w:val="right"/>
        <w:rPr>
          <w:rFonts w:ascii="Arial" w:hAnsi="Arial" w:cs="Arial"/>
          <w:sz w:val="20"/>
          <w:szCs w:val="20"/>
          <w:lang w:eastAsia="de-DE"/>
        </w:rPr>
      </w:pPr>
      <w:r w:rsidRPr="00A27EEE">
        <w:rPr>
          <w:rFonts w:ascii="Arial" w:hAnsi="Arial" w:cs="Arial"/>
          <w:sz w:val="20"/>
          <w:szCs w:val="20"/>
          <w:lang w:eastAsia="de-DE"/>
        </w:rPr>
        <w:t>Steuerberatervereinigung</w:t>
      </w:r>
    </w:p>
    <w:p w:rsidR="00A27EEE" w:rsidRPr="00A27EEE" w:rsidRDefault="00A27EEE" w:rsidP="00A27EEE">
      <w:pPr>
        <w:spacing w:after="0" w:line="240" w:lineRule="auto"/>
        <w:jc w:val="right"/>
        <w:rPr>
          <w:rFonts w:ascii="Arial" w:hAnsi="Arial" w:cs="Arial"/>
          <w:sz w:val="20"/>
          <w:szCs w:val="20"/>
          <w:lang w:eastAsia="de-DE"/>
        </w:rPr>
      </w:pPr>
      <w:r w:rsidRPr="00A27EEE">
        <w:rPr>
          <w:rFonts w:ascii="Arial" w:hAnsi="Arial" w:cs="Arial"/>
          <w:sz w:val="20"/>
          <w:szCs w:val="20"/>
          <w:lang w:eastAsia="de-DE"/>
        </w:rPr>
        <w:t>für die mittelständische</w:t>
      </w:r>
    </w:p>
    <w:p w:rsidR="00A27EEE" w:rsidRPr="00A27EEE" w:rsidRDefault="00A27EEE" w:rsidP="00A27EEE">
      <w:pPr>
        <w:spacing w:after="0" w:line="240" w:lineRule="auto"/>
        <w:jc w:val="right"/>
        <w:rPr>
          <w:rFonts w:ascii="Arial" w:hAnsi="Arial" w:cs="Arial"/>
          <w:lang w:eastAsia="de-DE"/>
        </w:rPr>
      </w:pPr>
      <w:r w:rsidRPr="00A27EEE">
        <w:rPr>
          <w:rFonts w:ascii="Arial" w:hAnsi="Arial" w:cs="Arial"/>
          <w:sz w:val="20"/>
          <w:szCs w:val="20"/>
          <w:lang w:eastAsia="de-DE"/>
        </w:rPr>
        <w:t>Wirtschaft e. V.</w:t>
      </w:r>
    </w:p>
    <w:p w:rsidR="00A27EEE" w:rsidRPr="00A27EEE" w:rsidRDefault="00A27EEE" w:rsidP="00A27EEE">
      <w:pPr>
        <w:spacing w:after="0" w:line="240" w:lineRule="auto"/>
        <w:jc w:val="center"/>
        <w:rPr>
          <w:rFonts w:ascii="Arial" w:hAnsi="Arial" w:cs="Arial"/>
          <w:b/>
          <w:bCs/>
          <w:sz w:val="20"/>
          <w:szCs w:val="20"/>
          <w:lang w:eastAsia="de-DE"/>
        </w:rPr>
      </w:pPr>
    </w:p>
    <w:p w:rsidR="00A27EEE" w:rsidRPr="00A27EEE" w:rsidRDefault="00A27EEE" w:rsidP="00A27EEE">
      <w:pPr>
        <w:spacing w:after="0" w:line="240" w:lineRule="auto"/>
        <w:jc w:val="center"/>
        <w:rPr>
          <w:rFonts w:ascii="Arial" w:hAnsi="Arial" w:cs="Arial"/>
          <w:b/>
          <w:bCs/>
          <w:sz w:val="20"/>
          <w:szCs w:val="20"/>
          <w:lang w:eastAsia="de-DE"/>
        </w:rPr>
      </w:pPr>
      <w:r w:rsidRPr="00A27EEE">
        <w:rPr>
          <w:rFonts w:ascii="Arial" w:hAnsi="Arial" w:cs="Arial"/>
          <w:b/>
          <w:bCs/>
          <w:sz w:val="20"/>
          <w:szCs w:val="20"/>
          <w:lang w:eastAsia="de-DE"/>
        </w:rPr>
        <w:t>10 Urteile, die Ihre Leser interessieren könnten</w:t>
      </w:r>
    </w:p>
    <w:p w:rsidR="00A27EEE" w:rsidRPr="00A27EEE" w:rsidRDefault="00A27EEE" w:rsidP="00A27EEE">
      <w:pPr>
        <w:spacing w:after="0" w:line="240" w:lineRule="auto"/>
        <w:jc w:val="center"/>
        <w:rPr>
          <w:rFonts w:ascii="Arial" w:hAnsi="Arial" w:cs="Arial"/>
          <w:b/>
          <w:bCs/>
          <w:sz w:val="20"/>
          <w:szCs w:val="20"/>
          <w:lang w:eastAsia="de-DE"/>
        </w:rPr>
      </w:pPr>
    </w:p>
    <w:p w:rsidR="00A27EEE" w:rsidRPr="00A27EEE" w:rsidRDefault="00A27EEE" w:rsidP="00A27EEE">
      <w:pPr>
        <w:spacing w:after="0" w:line="240" w:lineRule="auto"/>
        <w:jc w:val="center"/>
        <w:rPr>
          <w:rFonts w:ascii="Arial" w:hAnsi="Arial" w:cs="Arial"/>
          <w:sz w:val="20"/>
          <w:szCs w:val="20"/>
          <w:lang w:eastAsia="de-DE"/>
        </w:rPr>
      </w:pPr>
      <w:r w:rsidRPr="00A27EEE">
        <w:rPr>
          <w:rFonts w:ascii="Arial" w:hAnsi="Arial" w:cs="Arial"/>
          <w:sz w:val="20"/>
          <w:szCs w:val="20"/>
          <w:lang w:eastAsia="de-DE"/>
        </w:rPr>
        <w:t>zusammengestellt von Rechtsanwalt/Fachanwalt für Arbeitsrecht u. Fachanwalt für Erbrecht</w:t>
      </w:r>
    </w:p>
    <w:p w:rsidR="00A27EEE" w:rsidRPr="00A27EEE" w:rsidRDefault="00A27EEE" w:rsidP="00A27EEE">
      <w:pPr>
        <w:spacing w:after="0" w:line="240" w:lineRule="auto"/>
        <w:ind w:right="540"/>
        <w:jc w:val="center"/>
        <w:rPr>
          <w:rFonts w:ascii="Arial" w:hAnsi="Arial" w:cs="Arial"/>
          <w:bCs/>
          <w:sz w:val="20"/>
          <w:szCs w:val="20"/>
          <w:lang w:eastAsia="de-DE"/>
        </w:rPr>
      </w:pPr>
      <w:r w:rsidRPr="00A27EEE">
        <w:rPr>
          <w:rFonts w:ascii="Arial" w:hAnsi="Arial" w:cs="Arial"/>
          <w:bCs/>
          <w:sz w:val="20"/>
          <w:szCs w:val="20"/>
          <w:lang w:eastAsia="de-DE"/>
        </w:rPr>
        <w:t>Michael Henn, Stuttgart</w:t>
      </w:r>
    </w:p>
    <w:p w:rsidR="00A27EEE" w:rsidRPr="00A27EEE" w:rsidRDefault="00A27EEE" w:rsidP="00A27EEE">
      <w:pPr>
        <w:spacing w:after="0" w:line="240" w:lineRule="auto"/>
        <w:ind w:right="540"/>
        <w:jc w:val="both"/>
        <w:rPr>
          <w:rFonts w:ascii="Arial" w:hAnsi="Arial" w:cs="Arial"/>
          <w:bCs/>
          <w:sz w:val="20"/>
          <w:szCs w:val="20"/>
          <w:lang w:eastAsia="de-DE"/>
        </w:rPr>
      </w:pPr>
    </w:p>
    <w:p w:rsidR="00A27EEE" w:rsidRPr="00A27EEE" w:rsidRDefault="00A27EEE" w:rsidP="00A27EEE">
      <w:pPr>
        <w:spacing w:after="0" w:line="240" w:lineRule="auto"/>
        <w:ind w:right="540"/>
        <w:jc w:val="both"/>
        <w:rPr>
          <w:rFonts w:ascii="Arial" w:hAnsi="Arial" w:cs="Arial"/>
          <w:bCs/>
          <w:sz w:val="20"/>
          <w:szCs w:val="20"/>
          <w:lang w:eastAsia="de-DE"/>
        </w:rPr>
      </w:pPr>
    </w:p>
    <w:p w:rsidR="00A27EEE" w:rsidRPr="00A27EEE" w:rsidRDefault="00A27EEE" w:rsidP="00A27EEE">
      <w:pPr>
        <w:spacing w:after="0" w:line="240" w:lineRule="auto"/>
        <w:jc w:val="center"/>
        <w:rPr>
          <w:rFonts w:ascii="Arial" w:hAnsi="Arial" w:cs="Arial"/>
          <w:b/>
          <w:bCs/>
          <w:sz w:val="20"/>
          <w:szCs w:val="20"/>
          <w:lang w:eastAsia="de-DE"/>
        </w:rPr>
      </w:pPr>
      <w:r w:rsidRPr="00A27EEE">
        <w:rPr>
          <w:rFonts w:ascii="Arial" w:hAnsi="Arial" w:cs="Arial"/>
          <w:b/>
          <w:bCs/>
          <w:sz w:val="20"/>
          <w:szCs w:val="20"/>
          <w:lang w:eastAsia="de-DE"/>
        </w:rPr>
        <w:t>I.</w:t>
      </w:r>
    </w:p>
    <w:p w:rsidR="00A27EEE" w:rsidRPr="00A27EEE" w:rsidRDefault="00A27EEE" w:rsidP="00A27EEE">
      <w:pPr>
        <w:spacing w:after="0" w:line="240" w:lineRule="auto"/>
        <w:jc w:val="center"/>
        <w:rPr>
          <w:rFonts w:ascii="Arial" w:hAnsi="Arial" w:cs="Arial"/>
          <w:b/>
          <w:sz w:val="20"/>
          <w:lang w:eastAsia="de-DE"/>
        </w:rPr>
      </w:pPr>
      <w:r w:rsidRPr="00A27EEE">
        <w:rPr>
          <w:rFonts w:ascii="Arial" w:hAnsi="Arial" w:cs="Arial"/>
          <w:b/>
          <w:sz w:val="20"/>
          <w:lang w:eastAsia="de-DE"/>
        </w:rPr>
        <w:t>Besorgung einzelner Geschäfte eines Vertreters</w:t>
      </w:r>
    </w:p>
    <w:p w:rsidR="00A27EEE" w:rsidRPr="00A27EEE" w:rsidRDefault="00A27EEE" w:rsidP="00A27EEE">
      <w:pPr>
        <w:spacing w:after="0" w:line="240" w:lineRule="auto"/>
        <w:jc w:val="center"/>
        <w:rPr>
          <w:rFonts w:ascii="Arial" w:hAnsi="Arial" w:cs="Arial"/>
          <w:sz w:val="20"/>
          <w:lang w:eastAsia="de-DE"/>
        </w:rPr>
      </w:pPr>
      <w:r w:rsidRPr="00A27EEE">
        <w:rPr>
          <w:rFonts w:ascii="Arial" w:hAnsi="Arial" w:cs="Arial"/>
          <w:sz w:val="20"/>
          <w:lang w:eastAsia="de-DE"/>
        </w:rPr>
        <w:t>KG Berlin, Beschluss vom 13. November 2018, Az. 1 W 323/18</w:t>
      </w:r>
    </w:p>
    <w:p w:rsidR="00A27EEE" w:rsidRPr="00A27EEE" w:rsidRDefault="00A27EEE" w:rsidP="00A27EEE">
      <w:pPr>
        <w:spacing w:after="0" w:line="240" w:lineRule="auto"/>
        <w:jc w:val="center"/>
        <w:rPr>
          <w:rFonts w:ascii="Arial" w:hAnsi="Arial" w:cs="Arial"/>
          <w:bCs/>
          <w:sz w:val="20"/>
          <w:szCs w:val="20"/>
          <w:lang w:eastAsia="de-DE"/>
        </w:rPr>
      </w:pPr>
    </w:p>
    <w:p w:rsidR="00A27EEE" w:rsidRPr="00A27EEE" w:rsidRDefault="00A27EEE" w:rsidP="00A27EEE">
      <w:pPr>
        <w:spacing w:after="0" w:line="240" w:lineRule="auto"/>
        <w:jc w:val="both"/>
        <w:rPr>
          <w:rFonts w:ascii="Arial" w:hAnsi="Arial" w:cs="Arial"/>
          <w:sz w:val="20"/>
          <w:szCs w:val="24"/>
          <w:lang w:eastAsia="de-DE"/>
        </w:rPr>
      </w:pPr>
      <w:r w:rsidRPr="00A27EEE">
        <w:rPr>
          <w:rFonts w:ascii="Arial" w:hAnsi="Arial" w:cs="Arial"/>
          <w:sz w:val="20"/>
          <w:szCs w:val="24"/>
          <w:lang w:eastAsia="de-DE"/>
        </w:rPr>
        <w:t>Der Testamentsvollstrecker ist grundsätzlich befugt, sich für die Besorgung einzelner Geschäfte eines Vertreters zu bedienen. Auch die Erteilung einer Generalvollmacht ist jedenfalls dann nicht ausgeschlossen, wenn der Erblasser keine abweichenden Anordnungen getroffen hat und der Generalbevollmächtigte lediglich widerruflich bestellt worden ist (Fortführung von Senat, Beschluss vom 24. Oktober 1929, 1 X 613/29, JFG 7, 279).</w:t>
      </w:r>
    </w:p>
    <w:p w:rsidR="00A27EEE" w:rsidRPr="00A27EEE" w:rsidRDefault="00A27EEE" w:rsidP="00A27EEE">
      <w:pPr>
        <w:spacing w:after="0" w:line="240" w:lineRule="auto"/>
        <w:rPr>
          <w:rFonts w:ascii="Arial" w:hAnsi="Arial" w:cs="Arial"/>
          <w:sz w:val="20"/>
          <w:szCs w:val="20"/>
          <w:lang w:eastAsia="de-DE"/>
        </w:rPr>
      </w:pPr>
    </w:p>
    <w:p w:rsidR="00A27EEE" w:rsidRPr="00A27EEE" w:rsidRDefault="00A27EEE" w:rsidP="00A27EEE">
      <w:pPr>
        <w:spacing w:after="0" w:line="240" w:lineRule="auto"/>
        <w:jc w:val="center"/>
        <w:rPr>
          <w:rFonts w:ascii="Arial" w:hAnsi="Arial" w:cs="Arial"/>
          <w:b/>
          <w:sz w:val="20"/>
          <w:szCs w:val="20"/>
          <w:lang w:eastAsia="de-DE"/>
        </w:rPr>
      </w:pPr>
      <w:r w:rsidRPr="00A27EEE">
        <w:rPr>
          <w:rFonts w:ascii="Arial" w:hAnsi="Arial" w:cs="Arial"/>
          <w:b/>
          <w:sz w:val="20"/>
          <w:szCs w:val="20"/>
          <w:lang w:eastAsia="de-DE"/>
        </w:rPr>
        <w:t>II.</w:t>
      </w:r>
    </w:p>
    <w:p w:rsidR="00A27EEE" w:rsidRPr="00A27EEE" w:rsidRDefault="00A27EEE" w:rsidP="00A27EEE">
      <w:pPr>
        <w:tabs>
          <w:tab w:val="left" w:pos="4995"/>
        </w:tabs>
        <w:spacing w:after="0" w:line="240" w:lineRule="auto"/>
        <w:jc w:val="center"/>
        <w:rPr>
          <w:rFonts w:ascii="Arial" w:hAnsi="Arial" w:cs="Arial"/>
          <w:b/>
          <w:sz w:val="20"/>
          <w:szCs w:val="20"/>
          <w:lang w:eastAsia="de-DE"/>
        </w:rPr>
      </w:pPr>
      <w:r w:rsidRPr="00A27EEE">
        <w:rPr>
          <w:rFonts w:ascii="Arial" w:hAnsi="Arial" w:cs="Arial"/>
          <w:b/>
          <w:sz w:val="20"/>
          <w:szCs w:val="20"/>
          <w:lang w:eastAsia="de-DE"/>
        </w:rPr>
        <w:t xml:space="preserve">Eigenbedarfskündigung </w:t>
      </w:r>
    </w:p>
    <w:p w:rsidR="00A27EEE" w:rsidRPr="00A27EEE" w:rsidRDefault="00A27EEE" w:rsidP="00A27EEE">
      <w:pPr>
        <w:tabs>
          <w:tab w:val="left" w:pos="4995"/>
        </w:tabs>
        <w:spacing w:after="0" w:line="240" w:lineRule="auto"/>
        <w:jc w:val="center"/>
        <w:rPr>
          <w:rFonts w:ascii="Arial" w:hAnsi="Arial" w:cs="Arial"/>
          <w:sz w:val="20"/>
          <w:szCs w:val="20"/>
          <w:lang w:eastAsia="de-DE"/>
        </w:rPr>
      </w:pPr>
      <w:r w:rsidRPr="00A27EEE">
        <w:rPr>
          <w:rFonts w:ascii="Arial" w:hAnsi="Arial" w:cs="Arial"/>
          <w:sz w:val="20"/>
          <w:szCs w:val="20"/>
          <w:lang w:eastAsia="de-DE"/>
        </w:rPr>
        <w:t>LG Osnabrück, Urteil vom 30. November 2018, Az. 1 S 9/18</w:t>
      </w:r>
    </w:p>
    <w:p w:rsidR="00A27EEE" w:rsidRPr="00A27EEE" w:rsidRDefault="00A27EEE" w:rsidP="00A27EEE">
      <w:pPr>
        <w:tabs>
          <w:tab w:val="left" w:pos="4995"/>
        </w:tabs>
        <w:spacing w:after="0" w:line="240" w:lineRule="auto"/>
        <w:jc w:val="center"/>
        <w:rPr>
          <w:rFonts w:ascii="Arial" w:hAnsi="Arial" w:cs="Arial"/>
          <w:sz w:val="20"/>
          <w:szCs w:val="20"/>
          <w:lang w:eastAsia="de-DE"/>
        </w:rPr>
      </w:pPr>
    </w:p>
    <w:p w:rsidR="00A27EEE" w:rsidRPr="00A27EEE" w:rsidRDefault="00A27EEE" w:rsidP="00A27EEE">
      <w:pPr>
        <w:spacing w:after="0" w:line="240" w:lineRule="auto"/>
        <w:jc w:val="both"/>
        <w:rPr>
          <w:rFonts w:ascii="Arial" w:hAnsi="Arial" w:cs="Arial"/>
          <w:sz w:val="20"/>
          <w:szCs w:val="20"/>
          <w:lang w:eastAsia="de-DE"/>
        </w:rPr>
      </w:pPr>
      <w:r w:rsidRPr="00A27EEE">
        <w:rPr>
          <w:rFonts w:ascii="Arial" w:hAnsi="Arial" w:cs="Arial"/>
          <w:sz w:val="20"/>
          <w:szCs w:val="20"/>
          <w:lang w:eastAsia="de-DE"/>
        </w:rPr>
        <w:t>1. Will ein Vermieter nur einen Teil einer vermieteten Wohnung selbst nutzen, ist eine Eigenbedarfskündigung nicht berechtigt. Gleiches gilt, wenn das Mietobjekt in mehrere Wohnungen aufgeteilt werden kann, jedoch einheitlich vermietet wurde.</w:t>
      </w:r>
    </w:p>
    <w:p w:rsidR="00A27EEE" w:rsidRPr="00A27EEE" w:rsidRDefault="00A27EEE" w:rsidP="00A27EEE">
      <w:pPr>
        <w:spacing w:after="0" w:line="240" w:lineRule="auto"/>
        <w:jc w:val="both"/>
        <w:rPr>
          <w:rFonts w:ascii="Arial" w:hAnsi="Arial" w:cs="Arial"/>
          <w:sz w:val="20"/>
          <w:szCs w:val="20"/>
          <w:lang w:eastAsia="de-DE"/>
        </w:rPr>
      </w:pPr>
      <w:r w:rsidRPr="00A27EEE">
        <w:rPr>
          <w:rFonts w:ascii="Arial" w:hAnsi="Arial" w:cs="Arial"/>
          <w:sz w:val="20"/>
          <w:szCs w:val="20"/>
          <w:lang w:eastAsia="de-DE"/>
        </w:rPr>
        <w:t>2. Macht ein Vermieter im Kündigungsschreiben falsche Angaben hinsichtlich des geltend gemachten Eigenbedarfs, erkennt jedoch eine daraus folgende Unwirksamkeit der Kündigung nicht, handelt er nicht arglistig, wenn er den Mieter im Rahmen von nachfolgenden Vergleichsverhandlungen insoweit nicht aufklärt.</w:t>
      </w:r>
    </w:p>
    <w:p w:rsidR="00A27EEE" w:rsidRPr="00A27EEE" w:rsidRDefault="00A27EEE" w:rsidP="00A27EEE">
      <w:pPr>
        <w:spacing w:after="0" w:line="240" w:lineRule="auto"/>
        <w:rPr>
          <w:rFonts w:ascii="Arial" w:hAnsi="Arial" w:cs="Arial"/>
          <w:sz w:val="20"/>
          <w:szCs w:val="20"/>
          <w:lang w:eastAsia="de-DE"/>
        </w:rPr>
      </w:pPr>
    </w:p>
    <w:p w:rsidR="00A27EEE" w:rsidRPr="00A27EEE" w:rsidRDefault="00A27EEE" w:rsidP="00A27EEE">
      <w:pPr>
        <w:spacing w:after="0" w:line="240" w:lineRule="auto"/>
        <w:jc w:val="center"/>
        <w:rPr>
          <w:rFonts w:ascii="Arial" w:hAnsi="Arial" w:cs="Arial"/>
          <w:b/>
          <w:sz w:val="20"/>
          <w:szCs w:val="20"/>
          <w:lang w:eastAsia="de-DE"/>
        </w:rPr>
      </w:pPr>
      <w:r w:rsidRPr="00A27EEE">
        <w:rPr>
          <w:rFonts w:ascii="Arial" w:hAnsi="Arial" w:cs="Arial"/>
          <w:b/>
          <w:sz w:val="20"/>
          <w:szCs w:val="20"/>
          <w:lang w:eastAsia="de-DE"/>
        </w:rPr>
        <w:t>III.</w:t>
      </w:r>
    </w:p>
    <w:p w:rsidR="00A27EEE" w:rsidRPr="00A27EEE" w:rsidRDefault="00A27EEE" w:rsidP="00A27EEE">
      <w:pPr>
        <w:spacing w:after="0" w:line="240" w:lineRule="auto"/>
        <w:jc w:val="center"/>
        <w:rPr>
          <w:rFonts w:ascii="Arial" w:hAnsi="Arial" w:cs="Arial"/>
          <w:b/>
          <w:sz w:val="20"/>
          <w:szCs w:val="20"/>
          <w:lang w:eastAsia="de-DE"/>
        </w:rPr>
      </w:pPr>
      <w:r w:rsidRPr="00A27EEE">
        <w:rPr>
          <w:rFonts w:ascii="Arial" w:hAnsi="Arial" w:cs="Arial"/>
          <w:b/>
          <w:sz w:val="20"/>
          <w:szCs w:val="20"/>
          <w:lang w:eastAsia="de-DE"/>
        </w:rPr>
        <w:t>Verwendung einer bekannten Marke in der Domain eines Wiederverkäufers</w:t>
      </w:r>
    </w:p>
    <w:p w:rsidR="00A27EEE" w:rsidRPr="00A27EEE" w:rsidRDefault="00A27EEE" w:rsidP="00A27EEE">
      <w:pPr>
        <w:spacing w:after="0" w:line="240" w:lineRule="auto"/>
        <w:jc w:val="center"/>
        <w:rPr>
          <w:rFonts w:ascii="Arial" w:hAnsi="Arial" w:cs="Arial"/>
          <w:sz w:val="20"/>
          <w:szCs w:val="20"/>
          <w:lang w:eastAsia="de-DE"/>
        </w:rPr>
      </w:pPr>
      <w:r w:rsidRPr="00A27EEE">
        <w:rPr>
          <w:rFonts w:ascii="Arial" w:hAnsi="Arial" w:cs="Arial"/>
          <w:sz w:val="20"/>
          <w:szCs w:val="20"/>
          <w:lang w:eastAsia="de-DE"/>
        </w:rPr>
        <w:t>BGH, Urteil vom 28.06.2018, Az. I ZR 236/16</w:t>
      </w:r>
    </w:p>
    <w:p w:rsidR="00A27EEE" w:rsidRPr="00A27EEE" w:rsidRDefault="00A27EEE" w:rsidP="00A27EEE">
      <w:pPr>
        <w:spacing w:after="0" w:line="240" w:lineRule="auto"/>
        <w:jc w:val="both"/>
        <w:rPr>
          <w:rFonts w:ascii="Arial" w:hAnsi="Arial" w:cs="Arial"/>
          <w:sz w:val="20"/>
          <w:szCs w:val="20"/>
          <w:lang w:eastAsia="de-DE"/>
        </w:rPr>
      </w:pPr>
    </w:p>
    <w:p w:rsidR="00A27EEE" w:rsidRPr="00A27EEE" w:rsidRDefault="00A27EEE" w:rsidP="00A27EEE">
      <w:pPr>
        <w:spacing w:after="0" w:line="240" w:lineRule="auto"/>
        <w:jc w:val="both"/>
        <w:rPr>
          <w:rFonts w:ascii="Arial" w:hAnsi="Arial" w:cs="Arial"/>
          <w:sz w:val="20"/>
          <w:szCs w:val="20"/>
          <w:lang w:eastAsia="de-DE"/>
        </w:rPr>
      </w:pPr>
      <w:r w:rsidRPr="00A27EEE">
        <w:rPr>
          <w:rFonts w:ascii="Arial" w:hAnsi="Arial" w:cs="Arial"/>
          <w:sz w:val="20"/>
          <w:szCs w:val="20"/>
          <w:lang w:eastAsia="de-DE"/>
        </w:rPr>
        <w:t>a) Die Verwendung einer bekannten Marke in der Domainbezeichnung eines Wiederverkäufers, der neben mit der Marke gekennzeichneten Produkten auch mit diesen kompatible Produkte anderer Hersteller vertreibt, weist zwar im Sinne des § 23 Nr. 3 MarkenG auf die Bestimmung der Ware hin. Angesichts der dem Wiederverkäufer zur Verfügung stehenden schonenderen Möglichkeiten, auf die Kompatibilität seiner Produkte hinzuweisen, verstößt eine solche Verwendung der gegen die guten Sitten, weil sie auch dazu dient, potentielle Kunden auf das unter der Domainbezeichnung erfolgende Warenangebot aufmerksam zu machen, und sie somit für Werbezwecke eingesetzt wird, die über die mit der notwendigen Leistungsbestimmung einhergehende Werbewirkung hinausgehen.</w:t>
      </w:r>
    </w:p>
    <w:p w:rsidR="00A27EEE" w:rsidRPr="00A27EEE" w:rsidRDefault="00A27EEE" w:rsidP="00A27EEE">
      <w:pPr>
        <w:spacing w:after="0" w:line="240" w:lineRule="auto"/>
        <w:jc w:val="both"/>
        <w:rPr>
          <w:rFonts w:ascii="Arial" w:hAnsi="Arial" w:cs="Arial"/>
          <w:sz w:val="20"/>
          <w:szCs w:val="20"/>
          <w:lang w:eastAsia="de-DE"/>
        </w:rPr>
      </w:pPr>
    </w:p>
    <w:p w:rsidR="00A27EEE" w:rsidRPr="00A27EEE" w:rsidRDefault="00A27EEE" w:rsidP="00A27EEE">
      <w:pPr>
        <w:spacing w:after="0" w:line="240" w:lineRule="auto"/>
        <w:jc w:val="both"/>
        <w:rPr>
          <w:rFonts w:ascii="Arial" w:hAnsi="Arial" w:cs="Arial"/>
          <w:sz w:val="20"/>
          <w:szCs w:val="20"/>
          <w:lang w:eastAsia="de-DE"/>
        </w:rPr>
      </w:pPr>
      <w:r w:rsidRPr="00A27EEE">
        <w:rPr>
          <w:rFonts w:ascii="Arial" w:hAnsi="Arial" w:cs="Arial"/>
          <w:sz w:val="20"/>
          <w:szCs w:val="20"/>
          <w:lang w:eastAsia="de-DE"/>
        </w:rPr>
        <w:t>b) Macht sich der Wiederverkäufer durch die Verwendung der bekannten Marke im Rahmen der Domainbezeichnung die aus deren Bekanntheit folgende Werbewirkung bei der Anpreisung seines Online-Shops in einer Weise zunutze, die das für den Hinweis auf den Vertrieb von Markenwaren erforderliche Maß übersteigt, so liegt hierin eine unlautere Ausnutzung der Wertschätzung der Klagemarke, die den Markeninhaber gemäß § 24 Abs. 2 MarkenG berechtigt, sich der Markenverwendung zu widersetzen.</w:t>
      </w:r>
    </w:p>
    <w:p w:rsidR="00A27EEE" w:rsidRPr="00A27EEE" w:rsidRDefault="00A27EEE" w:rsidP="00A27EEE">
      <w:pPr>
        <w:spacing w:after="0" w:line="240" w:lineRule="auto"/>
        <w:jc w:val="both"/>
        <w:rPr>
          <w:rFonts w:ascii="Arial" w:hAnsi="Arial" w:cs="Arial"/>
          <w:sz w:val="20"/>
          <w:szCs w:val="20"/>
          <w:lang w:eastAsia="de-DE"/>
        </w:rPr>
      </w:pPr>
    </w:p>
    <w:p w:rsidR="00A27EEE" w:rsidRPr="00A27EEE" w:rsidRDefault="00A27EEE" w:rsidP="00A27EEE">
      <w:pPr>
        <w:spacing w:after="0" w:line="240" w:lineRule="auto"/>
        <w:jc w:val="both"/>
        <w:rPr>
          <w:rFonts w:ascii="Arial" w:hAnsi="Arial" w:cs="Arial"/>
          <w:sz w:val="20"/>
          <w:szCs w:val="20"/>
          <w:lang w:eastAsia="de-DE"/>
        </w:rPr>
      </w:pPr>
      <w:r w:rsidRPr="00A27EEE">
        <w:rPr>
          <w:rFonts w:ascii="Arial" w:hAnsi="Arial" w:cs="Arial"/>
          <w:sz w:val="20"/>
          <w:szCs w:val="20"/>
          <w:lang w:eastAsia="de-DE"/>
        </w:rPr>
        <w:t>c) Verwendet ein Wiederverkäufer eine Marke auf einer Internetseite, auf der neben mit dieser Marke gekennzeichneten Produkten auch Konkurrenzprodukte angeboten werden, ist der für eine Erschöpfung im Sinne des § 24 Abs. 1 MarkenG erforderliche Produktbezug gegeben. Der Markeninhaber kann sich allerdings gemäß § 24 Abs. 2 MarkenG einer irreführenden Verwendung widersetzen, mittels derer Kunden zum Angebot von Fremdprodukten geleitet werden oder eine wirtschaftliche Verbindung mit dem Markeninhaber suggeriert wird.</w:t>
      </w:r>
    </w:p>
    <w:p w:rsidR="00A27EEE" w:rsidRPr="00A27EEE" w:rsidRDefault="00A27EEE" w:rsidP="00A27EEE">
      <w:pPr>
        <w:spacing w:after="0" w:line="240" w:lineRule="auto"/>
        <w:jc w:val="both"/>
        <w:rPr>
          <w:rFonts w:ascii="Arial" w:hAnsi="Arial" w:cs="Arial"/>
          <w:sz w:val="20"/>
          <w:szCs w:val="20"/>
          <w:lang w:eastAsia="de-DE"/>
        </w:rPr>
      </w:pPr>
    </w:p>
    <w:p w:rsidR="00A27EEE" w:rsidRPr="00A27EEE" w:rsidRDefault="00A27EEE" w:rsidP="00A27EEE">
      <w:pPr>
        <w:spacing w:after="0" w:line="240" w:lineRule="auto"/>
        <w:jc w:val="center"/>
        <w:rPr>
          <w:rFonts w:ascii="Arial" w:hAnsi="Arial" w:cs="Arial"/>
          <w:b/>
          <w:sz w:val="20"/>
          <w:szCs w:val="20"/>
          <w:lang w:eastAsia="de-DE"/>
        </w:rPr>
      </w:pPr>
      <w:r w:rsidRPr="00A27EEE">
        <w:rPr>
          <w:rFonts w:ascii="Arial" w:hAnsi="Arial" w:cs="Arial"/>
          <w:b/>
          <w:sz w:val="20"/>
          <w:szCs w:val="20"/>
          <w:lang w:eastAsia="de-DE"/>
        </w:rPr>
        <w:lastRenderedPageBreak/>
        <w:t>IV.</w:t>
      </w:r>
    </w:p>
    <w:p w:rsidR="00A27EEE" w:rsidRPr="00A27EEE" w:rsidRDefault="00A27EEE" w:rsidP="00A27EEE">
      <w:pPr>
        <w:spacing w:after="0" w:line="240" w:lineRule="auto"/>
        <w:jc w:val="center"/>
        <w:rPr>
          <w:rFonts w:ascii="Arial" w:hAnsi="Arial" w:cs="Arial"/>
          <w:b/>
          <w:sz w:val="20"/>
          <w:szCs w:val="20"/>
          <w:lang w:eastAsia="de-DE"/>
        </w:rPr>
      </w:pPr>
      <w:r w:rsidRPr="00A27EEE">
        <w:rPr>
          <w:rFonts w:ascii="Arial" w:hAnsi="Arial" w:cs="Arial"/>
          <w:b/>
          <w:sz w:val="20"/>
          <w:szCs w:val="20"/>
          <w:lang w:eastAsia="de-DE"/>
        </w:rPr>
        <w:t>Haftung des Lagerhalters für Inventurverluste</w:t>
      </w:r>
    </w:p>
    <w:p w:rsidR="00A27EEE" w:rsidRPr="00A27EEE" w:rsidRDefault="00A27EEE" w:rsidP="00A27EEE">
      <w:pPr>
        <w:spacing w:after="0" w:line="240" w:lineRule="auto"/>
        <w:jc w:val="center"/>
        <w:rPr>
          <w:rFonts w:ascii="Arial" w:hAnsi="Arial" w:cs="Arial"/>
          <w:sz w:val="20"/>
          <w:szCs w:val="20"/>
          <w:lang w:eastAsia="de-DE"/>
        </w:rPr>
      </w:pPr>
      <w:r w:rsidRPr="00A27EEE">
        <w:rPr>
          <w:rFonts w:ascii="Arial" w:hAnsi="Arial" w:cs="Arial"/>
          <w:sz w:val="20"/>
          <w:szCs w:val="20"/>
          <w:lang w:eastAsia="de-DE"/>
        </w:rPr>
        <w:t>BGH, Urteil vom 20.09.2018, Az. I ZR 146/17</w:t>
      </w:r>
    </w:p>
    <w:p w:rsidR="00A27EEE" w:rsidRPr="00A27EEE" w:rsidRDefault="00A27EEE" w:rsidP="00A27EEE">
      <w:pPr>
        <w:spacing w:after="0" w:line="240" w:lineRule="auto"/>
        <w:jc w:val="center"/>
        <w:rPr>
          <w:rFonts w:ascii="Arial" w:hAnsi="Arial" w:cs="Arial"/>
          <w:sz w:val="20"/>
          <w:szCs w:val="20"/>
          <w:lang w:eastAsia="de-DE"/>
        </w:rPr>
      </w:pPr>
    </w:p>
    <w:p w:rsidR="00A27EEE" w:rsidRPr="00A27EEE" w:rsidRDefault="00A27EEE" w:rsidP="00A27EEE">
      <w:pPr>
        <w:spacing w:after="0" w:line="240" w:lineRule="auto"/>
        <w:jc w:val="both"/>
        <w:rPr>
          <w:rFonts w:ascii="Arial" w:hAnsi="Arial" w:cs="Arial"/>
          <w:sz w:val="20"/>
          <w:szCs w:val="21"/>
        </w:rPr>
      </w:pPr>
      <w:r w:rsidRPr="00A27EEE">
        <w:rPr>
          <w:rFonts w:ascii="Arial" w:hAnsi="Arial" w:cs="Arial"/>
          <w:sz w:val="20"/>
          <w:szCs w:val="21"/>
        </w:rPr>
        <w:t>a) Die Bestimmungen der §§ 467 bis 475h HGB über das Lagergeschäft gelten auch dann, wenn der Lagerhalter - wie bei einem Konsignationslager - neben der Lagerung der Güter noch andere Aufgaben übernimmt.</w:t>
      </w:r>
    </w:p>
    <w:p w:rsidR="00A27EEE" w:rsidRPr="00A27EEE" w:rsidRDefault="00A27EEE" w:rsidP="00A27EEE">
      <w:pPr>
        <w:spacing w:after="0" w:line="240" w:lineRule="auto"/>
        <w:jc w:val="both"/>
        <w:rPr>
          <w:rFonts w:ascii="Arial" w:hAnsi="Arial" w:cs="Arial"/>
          <w:sz w:val="20"/>
          <w:szCs w:val="21"/>
        </w:rPr>
      </w:pPr>
      <w:r w:rsidRPr="00A27EEE">
        <w:rPr>
          <w:rFonts w:ascii="Arial" w:hAnsi="Arial" w:cs="Arial"/>
          <w:sz w:val="20"/>
          <w:szCs w:val="21"/>
        </w:rPr>
        <w:t>b) Die Haftung gemäß § 475 HGB kann außer durch Allgemeine Geschäftsbedingungen, die den Erfordernissen der §§ 305 bis 310 BGB entsprechen und dabei insbesondere die Kardinalpflichten des Lagerhalters angemessen berücksichtigen, auch durch Individualvereinbarungen beschränkt werden, sofern diese die für sie geltenden Grenzen der Gestaltungsmacht der Parteien einhalten.</w:t>
      </w:r>
    </w:p>
    <w:p w:rsidR="00A27EEE" w:rsidRPr="00A27EEE" w:rsidRDefault="00A27EEE" w:rsidP="00A27EEE">
      <w:pPr>
        <w:spacing w:after="0" w:line="240" w:lineRule="auto"/>
        <w:jc w:val="both"/>
        <w:rPr>
          <w:rFonts w:ascii="Arial" w:hAnsi="Arial" w:cs="Arial"/>
          <w:sz w:val="20"/>
          <w:szCs w:val="21"/>
        </w:rPr>
      </w:pPr>
      <w:r w:rsidRPr="00A27EEE">
        <w:rPr>
          <w:rFonts w:ascii="Arial" w:hAnsi="Arial" w:cs="Arial"/>
          <w:sz w:val="20"/>
          <w:szCs w:val="21"/>
        </w:rPr>
        <w:t>c) Eine Individualvereinbarung, wonach der Lagerhalter für Inventurverluste von bis zu 0,4% jährlich nicht haftet, kann im Blick auf § 276 Abs. 3 BGB dahin auszulegen sein, dass die Haftung für vorsätzliches Verhalten des Lagerhalters damit nicht ausgeschlossen ist.</w:t>
      </w:r>
    </w:p>
    <w:p w:rsidR="00A27EEE" w:rsidRPr="00A27EEE" w:rsidRDefault="00A27EEE" w:rsidP="00A27EEE">
      <w:pPr>
        <w:spacing w:after="0" w:line="240" w:lineRule="auto"/>
        <w:jc w:val="both"/>
        <w:rPr>
          <w:rFonts w:ascii="Arial" w:hAnsi="Arial" w:cs="Arial"/>
          <w:vanish/>
          <w:sz w:val="20"/>
          <w:szCs w:val="21"/>
        </w:rPr>
      </w:pPr>
      <w:r w:rsidRPr="00A27EEE">
        <w:rPr>
          <w:rFonts w:ascii="Arial" w:hAnsi="Arial" w:cs="Arial"/>
          <w:sz w:val="20"/>
          <w:szCs w:val="21"/>
        </w:rPr>
        <w:t>d) Das in Ziffer 19 ADSp 2003 bestimmte Aufrechnungsverbot gilt für Gegenansprüche, die streitig sind und über deren Bestehen nicht ohne Beweiserhebung entschieden werden. Das gilt grundsätzlich auch dann, wenn die Gegenansprüche nach Darstellung des Aufrechnenden auf einer vorsätzlichen Vertragsverletzung des Aufrechnungsgegners beruhen.</w:t>
      </w:r>
    </w:p>
    <w:p w:rsidR="00A27EEE" w:rsidRPr="00A27EEE" w:rsidRDefault="00A27EEE" w:rsidP="00A27EEE">
      <w:pPr>
        <w:spacing w:after="0" w:line="240" w:lineRule="auto"/>
        <w:jc w:val="both"/>
        <w:rPr>
          <w:rFonts w:ascii="Arial" w:hAnsi="Arial" w:cs="Arial"/>
          <w:sz w:val="20"/>
          <w:szCs w:val="20"/>
          <w:lang w:eastAsia="de-DE"/>
        </w:rPr>
      </w:pPr>
    </w:p>
    <w:p w:rsidR="00A27EEE" w:rsidRPr="00A27EEE" w:rsidRDefault="00A27EEE" w:rsidP="00A27EEE">
      <w:pPr>
        <w:spacing w:after="0" w:line="240" w:lineRule="auto"/>
        <w:jc w:val="center"/>
        <w:rPr>
          <w:rFonts w:ascii="Arial" w:hAnsi="Arial" w:cs="Arial"/>
          <w:b/>
          <w:sz w:val="20"/>
          <w:szCs w:val="20"/>
          <w:lang w:eastAsia="de-DE"/>
        </w:rPr>
      </w:pPr>
      <w:r w:rsidRPr="00A27EEE">
        <w:rPr>
          <w:rFonts w:ascii="Arial" w:hAnsi="Arial" w:cs="Arial"/>
          <w:b/>
          <w:sz w:val="20"/>
          <w:szCs w:val="20"/>
          <w:lang w:eastAsia="de-DE"/>
        </w:rPr>
        <w:t>V.</w:t>
      </w:r>
    </w:p>
    <w:p w:rsidR="00A27EEE" w:rsidRPr="00A27EEE" w:rsidRDefault="00A27EEE" w:rsidP="00A27EEE">
      <w:pPr>
        <w:spacing w:after="0" w:line="240" w:lineRule="auto"/>
        <w:jc w:val="center"/>
        <w:rPr>
          <w:rFonts w:ascii="Arial" w:hAnsi="Arial" w:cs="Arial"/>
          <w:b/>
          <w:sz w:val="20"/>
          <w:szCs w:val="20"/>
          <w:lang w:eastAsia="de-DE"/>
        </w:rPr>
      </w:pPr>
      <w:r w:rsidRPr="00A27EEE">
        <w:rPr>
          <w:rFonts w:ascii="Arial" w:hAnsi="Arial" w:cs="Arial"/>
          <w:b/>
          <w:sz w:val="20"/>
          <w:szCs w:val="20"/>
          <w:lang w:eastAsia="de-DE"/>
        </w:rPr>
        <w:t>Nutzungsausfallentschädigung für gewerblich genutztes Fahrzeug</w:t>
      </w:r>
    </w:p>
    <w:p w:rsidR="00A27EEE" w:rsidRPr="00A27EEE" w:rsidRDefault="00A27EEE" w:rsidP="00A27EEE">
      <w:pPr>
        <w:spacing w:after="0" w:line="240" w:lineRule="auto"/>
        <w:jc w:val="center"/>
        <w:rPr>
          <w:rFonts w:ascii="Arial" w:hAnsi="Arial" w:cs="Arial"/>
          <w:sz w:val="20"/>
          <w:szCs w:val="20"/>
          <w:lang w:eastAsia="de-DE"/>
        </w:rPr>
      </w:pPr>
      <w:r w:rsidRPr="00A27EEE">
        <w:rPr>
          <w:rFonts w:ascii="Arial" w:hAnsi="Arial" w:cs="Arial"/>
          <w:sz w:val="20"/>
          <w:szCs w:val="20"/>
          <w:lang w:eastAsia="de-DE"/>
        </w:rPr>
        <w:t>BGH, Beschluss vom 06.12.2018, Az. VII ZR 285/17</w:t>
      </w:r>
    </w:p>
    <w:p w:rsidR="00A27EEE" w:rsidRPr="00A27EEE" w:rsidRDefault="00A27EEE" w:rsidP="00A27EEE">
      <w:pPr>
        <w:spacing w:after="0" w:line="240" w:lineRule="auto"/>
        <w:jc w:val="center"/>
        <w:rPr>
          <w:rFonts w:ascii="Arial" w:hAnsi="Arial" w:cs="Arial"/>
          <w:sz w:val="20"/>
          <w:szCs w:val="20"/>
          <w:lang w:eastAsia="de-DE"/>
        </w:rPr>
      </w:pPr>
    </w:p>
    <w:p w:rsidR="00A27EEE" w:rsidRPr="00A27EEE" w:rsidRDefault="00A27EEE" w:rsidP="00A27EEE">
      <w:pPr>
        <w:spacing w:after="0" w:line="240" w:lineRule="auto"/>
        <w:jc w:val="both"/>
        <w:rPr>
          <w:rFonts w:ascii="Arial" w:hAnsi="Arial" w:cs="Arial"/>
          <w:sz w:val="20"/>
          <w:szCs w:val="20"/>
          <w:lang w:eastAsia="de-DE"/>
        </w:rPr>
      </w:pPr>
      <w:r w:rsidRPr="00A27EEE">
        <w:rPr>
          <w:rFonts w:ascii="Arial" w:hAnsi="Arial" w:cs="Arial"/>
          <w:sz w:val="20"/>
          <w:szCs w:val="20"/>
          <w:lang w:eastAsia="de-DE"/>
        </w:rPr>
        <w:t>a) Lassen sich bei dem vorübergehenden Entzug der Gebrauchsmöglichkeit eines ausschließlich gewerblich genutzten Fahrzeugs die materiellen Auswirkungen des Ausfalls des Fahrzeugs quantifizieren, kann eine (abstrakte) Nutzungsausfallentschädigung nicht verlangt werden. Das gilt unabhängig davon, ob das ausgefallene Fahrzeug unmittelbar der Gewinnerzielung dient, weil der Ertrag allein mit Transportleistungen erzielt wird, oder nur mittelbar, nämlich zur Unterstützung einer anderen gewerblichen Tätigkeit eingesetzt wird.</w:t>
      </w:r>
    </w:p>
    <w:p w:rsidR="00A27EEE" w:rsidRPr="00A27EEE" w:rsidRDefault="00A27EEE" w:rsidP="00A27EEE">
      <w:pPr>
        <w:spacing w:after="0" w:line="240" w:lineRule="auto"/>
        <w:jc w:val="both"/>
        <w:rPr>
          <w:rFonts w:ascii="Arial" w:hAnsi="Arial" w:cs="Arial"/>
          <w:sz w:val="20"/>
          <w:szCs w:val="20"/>
          <w:lang w:eastAsia="de-DE"/>
        </w:rPr>
      </w:pPr>
      <w:r w:rsidRPr="00A27EEE">
        <w:rPr>
          <w:rFonts w:ascii="Arial" w:hAnsi="Arial" w:cs="Arial"/>
          <w:sz w:val="20"/>
          <w:szCs w:val="20"/>
          <w:lang w:eastAsia="de-DE"/>
        </w:rPr>
        <w:t>b) Der Betriebsbereitschaft eines ausschließlich gewerblich genutzten Fahrzeugs, also seiner ständigen Verfügbarkeit und Einsatzfähigkeit, kommt kein eigenständiger Vermögenswert zu, weshalb der vorübergehende Entzug der Gebrauchsmöglichkeit als solcher kein Schaden ist. Der Geschädigte kann für die Gebrauchsentbehrung - unabhängig vom Eintritt eines Erwerbsschadens oder darüber hinaus - keine (abstrakte oder an den Vorhaltekosten orientierte) Nutzungsausfallentschädigung verlangen.</w:t>
      </w:r>
    </w:p>
    <w:p w:rsidR="00A27EEE" w:rsidRPr="00A27EEE" w:rsidRDefault="00A27EEE" w:rsidP="00A27EEE">
      <w:pPr>
        <w:spacing w:after="0" w:line="240" w:lineRule="auto"/>
        <w:jc w:val="both"/>
        <w:rPr>
          <w:rFonts w:ascii="Arial" w:hAnsi="Arial" w:cs="Arial"/>
          <w:sz w:val="20"/>
          <w:szCs w:val="20"/>
          <w:lang w:eastAsia="de-DE"/>
        </w:rPr>
      </w:pPr>
      <w:r w:rsidRPr="00A27EEE">
        <w:rPr>
          <w:rFonts w:ascii="Arial" w:hAnsi="Arial" w:cs="Arial"/>
          <w:sz w:val="20"/>
          <w:szCs w:val="20"/>
          <w:lang w:eastAsia="de-DE"/>
        </w:rPr>
        <w:t>c) Die Rechtsprechung, wonach die infolge eines zum Schadensersatz verpflichtenden Ereignisses entfallende Möglichkeit des Geschädigten, private, eigenwirtschaftlich genutzte Sachen oder Güter plangemäß verwenden oder nutzen zu können, einen ersatzfähigen Vermögensschaden darstellen kann, ohne dass hierdurch zusätzliche Kosten entstanden oder Einnahmen entgangen sind, ist auf die Nutzung von Sachen oder Gütern, die ausschließlich erwerbswirtschaftlich genutzt werden, nicht übertragbar.</w:t>
      </w:r>
    </w:p>
    <w:p w:rsidR="00A27EEE" w:rsidRPr="00A27EEE" w:rsidRDefault="00A27EEE" w:rsidP="00A27EEE">
      <w:pPr>
        <w:spacing w:after="0" w:line="240" w:lineRule="auto"/>
        <w:rPr>
          <w:rFonts w:ascii="Arial" w:hAnsi="Arial" w:cs="Arial"/>
          <w:sz w:val="20"/>
          <w:lang w:eastAsia="de-DE"/>
        </w:rPr>
      </w:pPr>
    </w:p>
    <w:p w:rsidR="00A27EEE" w:rsidRPr="00A27EEE" w:rsidRDefault="00A27EEE" w:rsidP="00A27EEE">
      <w:pPr>
        <w:spacing w:after="0" w:line="240" w:lineRule="auto"/>
        <w:jc w:val="center"/>
        <w:rPr>
          <w:rFonts w:ascii="Arial" w:hAnsi="Arial" w:cs="Arial"/>
          <w:b/>
          <w:sz w:val="20"/>
          <w:lang w:eastAsia="de-DE"/>
        </w:rPr>
      </w:pPr>
      <w:r w:rsidRPr="00A27EEE">
        <w:rPr>
          <w:rFonts w:ascii="Arial" w:hAnsi="Arial" w:cs="Arial"/>
          <w:b/>
          <w:sz w:val="20"/>
          <w:lang w:eastAsia="de-DE"/>
        </w:rPr>
        <w:t>VI.</w:t>
      </w:r>
    </w:p>
    <w:p w:rsidR="00A27EEE" w:rsidRPr="00A27EEE" w:rsidRDefault="00A27EEE" w:rsidP="00A27EEE">
      <w:pPr>
        <w:spacing w:after="0" w:line="240" w:lineRule="auto"/>
        <w:jc w:val="center"/>
        <w:rPr>
          <w:rFonts w:ascii="Arial" w:hAnsi="Arial" w:cs="Arial"/>
          <w:b/>
          <w:bCs/>
          <w:sz w:val="20"/>
          <w:lang w:eastAsia="de-DE"/>
        </w:rPr>
      </w:pPr>
      <w:r w:rsidRPr="00A27EEE">
        <w:rPr>
          <w:rFonts w:ascii="Arial" w:hAnsi="Arial" w:cs="Arial"/>
          <w:b/>
          <w:bCs/>
          <w:sz w:val="20"/>
          <w:lang w:eastAsia="de-DE"/>
        </w:rPr>
        <w:t>Unterlassene Aufklärung des steuerlichen Beraters über wirtschaftliche Beteiligung</w:t>
      </w:r>
    </w:p>
    <w:p w:rsidR="00A27EEE" w:rsidRPr="00A27EEE" w:rsidRDefault="00A27EEE" w:rsidP="00A27EEE">
      <w:pPr>
        <w:spacing w:after="0" w:line="240" w:lineRule="auto"/>
        <w:jc w:val="center"/>
        <w:rPr>
          <w:rFonts w:ascii="Arial" w:hAnsi="Arial" w:cs="Arial"/>
          <w:sz w:val="20"/>
          <w:lang w:eastAsia="de-DE"/>
        </w:rPr>
      </w:pPr>
      <w:r w:rsidRPr="00A27EEE">
        <w:rPr>
          <w:rFonts w:ascii="Arial" w:hAnsi="Arial" w:cs="Arial"/>
          <w:sz w:val="20"/>
          <w:lang w:eastAsia="de-DE"/>
        </w:rPr>
        <w:t>BGH, Urteil vom 06.12.2018, Az. IX ZR 176/16</w:t>
      </w:r>
    </w:p>
    <w:p w:rsidR="00A27EEE" w:rsidRPr="00A27EEE" w:rsidRDefault="00A27EEE" w:rsidP="00A27EEE">
      <w:pPr>
        <w:spacing w:after="0" w:line="240" w:lineRule="auto"/>
        <w:rPr>
          <w:rFonts w:ascii="Arial" w:hAnsi="Arial" w:cs="Arial"/>
          <w:sz w:val="20"/>
          <w:lang w:eastAsia="de-DE"/>
        </w:rPr>
      </w:pPr>
    </w:p>
    <w:p w:rsidR="00A27EEE" w:rsidRPr="00A27EEE" w:rsidRDefault="00A27EEE" w:rsidP="00A27EEE">
      <w:pPr>
        <w:spacing w:after="0" w:line="240" w:lineRule="auto"/>
        <w:jc w:val="both"/>
        <w:rPr>
          <w:rFonts w:ascii="Arial" w:hAnsi="Arial" w:cs="Arial"/>
          <w:sz w:val="20"/>
          <w:lang w:eastAsia="de-DE"/>
        </w:rPr>
      </w:pPr>
      <w:r w:rsidRPr="00A27EEE">
        <w:rPr>
          <w:rFonts w:ascii="Arial" w:hAnsi="Arial" w:cs="Arial"/>
          <w:sz w:val="20"/>
          <w:lang w:eastAsia="de-DE"/>
        </w:rPr>
        <w:t>Der steuerliche Berater handelt seinem Mandanten gegenüber pflichtwidrig, wenn er diesen zu einem Vertragsschluss mit einem Dritten veranlasst, ohne zu offenbaren, dass für ihn wirtschaftliche Vorteile mit einem solchen Vertragsschluss verbunden sind. Beweispflichtig für den Ursachenzusammenhang zwischen Pflichtverletzung und Schaden ist der Mandant, dem die Beweiserleichterung im Sinne des Anscheinsbeweises zugutekommen kann.</w:t>
      </w:r>
    </w:p>
    <w:p w:rsidR="00A27EEE" w:rsidRPr="00A27EEE" w:rsidRDefault="00A27EEE" w:rsidP="00A27EEE">
      <w:pPr>
        <w:spacing w:after="0" w:line="240" w:lineRule="auto"/>
        <w:jc w:val="both"/>
        <w:rPr>
          <w:rFonts w:ascii="Arial" w:hAnsi="Arial" w:cs="Arial"/>
          <w:sz w:val="20"/>
          <w:lang w:eastAsia="de-DE"/>
        </w:rPr>
      </w:pPr>
      <w:r w:rsidRPr="00A27EEE">
        <w:rPr>
          <w:rFonts w:ascii="Arial" w:hAnsi="Arial" w:cs="Arial"/>
          <w:sz w:val="20"/>
          <w:lang w:eastAsia="de-DE"/>
        </w:rPr>
        <w:t>b) Tätigt der über die wirtschaftliche Beteiligung seines Beraters an dem eine steuersparende Anlage vermittelnden Unternehmen nicht aufgeklärte Mandant mehrere Anlagen, ist der Schaden unter Einbeziehung aller Anlagen zu berechnen (im Anschluss an BGH, WM 2018, 2179 [BGH 18.10.2018 - III ZR 497/16] )</w:t>
      </w:r>
    </w:p>
    <w:p w:rsidR="00A27EEE" w:rsidRPr="00A27EEE" w:rsidRDefault="00A27EEE" w:rsidP="00A27EEE">
      <w:pPr>
        <w:spacing w:after="0" w:line="240" w:lineRule="auto"/>
        <w:jc w:val="both"/>
        <w:rPr>
          <w:rFonts w:ascii="Arial" w:hAnsi="Arial" w:cs="Arial"/>
          <w:sz w:val="20"/>
          <w:lang w:eastAsia="de-DE"/>
        </w:rPr>
      </w:pPr>
    </w:p>
    <w:p w:rsidR="00A27EEE" w:rsidRPr="00A27EEE" w:rsidRDefault="00A27EEE" w:rsidP="00A27EEE">
      <w:pPr>
        <w:spacing w:after="0" w:line="240" w:lineRule="auto"/>
        <w:jc w:val="center"/>
        <w:rPr>
          <w:rFonts w:ascii="Arial" w:hAnsi="Arial" w:cs="Arial"/>
          <w:b/>
          <w:sz w:val="20"/>
          <w:lang w:eastAsia="de-DE"/>
        </w:rPr>
      </w:pPr>
      <w:r w:rsidRPr="00A27EEE">
        <w:rPr>
          <w:rFonts w:ascii="Arial" w:hAnsi="Arial" w:cs="Arial"/>
          <w:b/>
          <w:sz w:val="20"/>
          <w:lang w:eastAsia="de-DE"/>
        </w:rPr>
        <w:t>VII.</w:t>
      </w:r>
    </w:p>
    <w:p w:rsidR="00A27EEE" w:rsidRPr="00A27EEE" w:rsidRDefault="00A27EEE" w:rsidP="00A27EEE">
      <w:pPr>
        <w:spacing w:after="0" w:line="240" w:lineRule="auto"/>
        <w:jc w:val="center"/>
        <w:rPr>
          <w:rFonts w:ascii="Arial" w:hAnsi="Arial" w:cs="Arial"/>
          <w:b/>
          <w:bCs/>
          <w:sz w:val="20"/>
          <w:lang w:eastAsia="de-DE"/>
        </w:rPr>
      </w:pPr>
      <w:r w:rsidRPr="00A27EEE">
        <w:rPr>
          <w:rFonts w:ascii="Arial" w:hAnsi="Arial" w:cs="Arial"/>
          <w:b/>
          <w:bCs/>
          <w:sz w:val="20"/>
          <w:lang w:eastAsia="de-DE"/>
        </w:rPr>
        <w:t>Formularmäßige Verwaltungskostenpauschale</w:t>
      </w:r>
    </w:p>
    <w:p w:rsidR="00A27EEE" w:rsidRPr="00A27EEE" w:rsidRDefault="00A27EEE" w:rsidP="00A27EEE">
      <w:pPr>
        <w:spacing w:after="0" w:line="240" w:lineRule="auto"/>
        <w:jc w:val="center"/>
        <w:rPr>
          <w:rFonts w:ascii="Arial" w:hAnsi="Arial" w:cs="Arial"/>
          <w:sz w:val="20"/>
          <w:lang w:eastAsia="de-DE"/>
        </w:rPr>
      </w:pPr>
      <w:r w:rsidRPr="00A27EEE">
        <w:rPr>
          <w:rFonts w:ascii="Arial" w:hAnsi="Arial" w:cs="Arial"/>
          <w:sz w:val="20"/>
          <w:lang w:eastAsia="de-DE"/>
        </w:rPr>
        <w:t>BGH, Urteil vom 19.12.2018, Az. VIII ZR 254/17</w:t>
      </w:r>
    </w:p>
    <w:p w:rsidR="00A27EEE" w:rsidRPr="00A27EEE" w:rsidRDefault="00A27EEE" w:rsidP="00A27EEE">
      <w:pPr>
        <w:spacing w:after="0" w:line="240" w:lineRule="auto"/>
        <w:jc w:val="both"/>
        <w:rPr>
          <w:rFonts w:ascii="Arial" w:hAnsi="Arial" w:cs="Arial"/>
          <w:sz w:val="20"/>
          <w:lang w:eastAsia="de-DE"/>
        </w:rPr>
      </w:pPr>
    </w:p>
    <w:p w:rsidR="00A27EEE" w:rsidRPr="00A27EEE" w:rsidRDefault="00A27EEE" w:rsidP="00A27EEE">
      <w:pPr>
        <w:spacing w:after="0" w:line="240" w:lineRule="auto"/>
        <w:jc w:val="both"/>
        <w:rPr>
          <w:rFonts w:ascii="Arial" w:hAnsi="Arial" w:cs="Arial"/>
          <w:sz w:val="20"/>
          <w:lang w:eastAsia="de-DE"/>
        </w:rPr>
      </w:pPr>
      <w:r w:rsidRPr="00A27EEE">
        <w:rPr>
          <w:rFonts w:ascii="Arial" w:hAnsi="Arial" w:cs="Arial"/>
          <w:sz w:val="20"/>
          <w:lang w:eastAsia="de-DE"/>
        </w:rPr>
        <w:t>Eine in einem formularmäßigen Wohnraummietvertrag gesondert ausgewiesene Verwaltungskostenpauschale stellt eine zum Nachteil des Mieters von § 556 Abs. 1 BGB abweichende und damit gemäß § 556 Abs. 4 BGB unwirksame Vereinbarung dar, sofern aus dem Mietvertrag nicht eindeutig hervorgeht, dass es sich bei dieser Pauschale um einen Teil der Grundmiete (Nettomiete) handelt</w:t>
      </w:r>
    </w:p>
    <w:p w:rsidR="00A27EEE" w:rsidRPr="00A27EEE" w:rsidRDefault="00A27EEE" w:rsidP="00A27EEE">
      <w:pPr>
        <w:spacing w:after="0" w:line="240" w:lineRule="auto"/>
        <w:jc w:val="both"/>
        <w:rPr>
          <w:rFonts w:ascii="Arial" w:hAnsi="Arial" w:cs="Arial"/>
          <w:sz w:val="20"/>
          <w:lang w:eastAsia="de-DE"/>
        </w:rPr>
      </w:pPr>
    </w:p>
    <w:p w:rsidR="00A27EEE" w:rsidRPr="00A27EEE" w:rsidRDefault="00A27EEE" w:rsidP="00A27EEE">
      <w:pPr>
        <w:spacing w:after="0" w:line="240" w:lineRule="auto"/>
        <w:jc w:val="center"/>
        <w:rPr>
          <w:rFonts w:ascii="Arial" w:hAnsi="Arial" w:cs="Arial"/>
          <w:b/>
          <w:sz w:val="20"/>
          <w:lang w:eastAsia="de-DE"/>
        </w:rPr>
      </w:pPr>
      <w:r w:rsidRPr="00A27EEE">
        <w:rPr>
          <w:rFonts w:ascii="Arial" w:hAnsi="Arial" w:cs="Arial"/>
          <w:b/>
          <w:sz w:val="20"/>
          <w:lang w:eastAsia="de-DE"/>
        </w:rPr>
        <w:t>VIII.</w:t>
      </w:r>
    </w:p>
    <w:p w:rsidR="00A27EEE" w:rsidRPr="00A27EEE" w:rsidRDefault="00A27EEE" w:rsidP="00A27EEE">
      <w:pPr>
        <w:spacing w:after="0" w:line="240" w:lineRule="auto"/>
        <w:jc w:val="center"/>
        <w:rPr>
          <w:rFonts w:ascii="Arial" w:hAnsi="Arial" w:cs="Arial"/>
          <w:b/>
          <w:bCs/>
          <w:sz w:val="20"/>
          <w:lang w:eastAsia="de-DE"/>
        </w:rPr>
      </w:pPr>
      <w:r w:rsidRPr="00A27EEE">
        <w:rPr>
          <w:rFonts w:ascii="Arial" w:hAnsi="Arial" w:cs="Arial"/>
          <w:b/>
          <w:bCs/>
          <w:sz w:val="20"/>
          <w:lang w:eastAsia="de-DE"/>
        </w:rPr>
        <w:t>Werbung auf mobilen Werbeflächen als Mietvertrag</w:t>
      </w:r>
    </w:p>
    <w:p w:rsidR="00A27EEE" w:rsidRPr="00A27EEE" w:rsidRDefault="00A27EEE" w:rsidP="00A27EEE">
      <w:pPr>
        <w:spacing w:after="0" w:line="240" w:lineRule="auto"/>
        <w:jc w:val="center"/>
        <w:rPr>
          <w:rFonts w:ascii="Arial" w:hAnsi="Arial" w:cs="Arial"/>
          <w:sz w:val="20"/>
          <w:lang w:eastAsia="de-DE"/>
        </w:rPr>
      </w:pPr>
      <w:r w:rsidRPr="00A27EEE">
        <w:rPr>
          <w:rFonts w:ascii="Arial" w:hAnsi="Arial" w:cs="Arial"/>
          <w:sz w:val="20"/>
          <w:lang w:eastAsia="de-DE"/>
        </w:rPr>
        <w:t>BGH, Urteil vom 19.12.2018, Az. XII ZR 14/18</w:t>
      </w:r>
    </w:p>
    <w:p w:rsidR="00A27EEE" w:rsidRDefault="00A27EEE" w:rsidP="00A27EEE">
      <w:pPr>
        <w:spacing w:after="0" w:line="240" w:lineRule="auto"/>
        <w:jc w:val="both"/>
        <w:rPr>
          <w:rFonts w:ascii="Arial" w:hAnsi="Arial" w:cs="Arial"/>
          <w:sz w:val="20"/>
          <w:lang w:eastAsia="de-DE"/>
        </w:rPr>
      </w:pPr>
    </w:p>
    <w:p w:rsidR="00662325" w:rsidRPr="00310173" w:rsidRDefault="00310173" w:rsidP="00A27EEE">
      <w:pPr>
        <w:spacing w:after="0" w:line="240" w:lineRule="auto"/>
        <w:jc w:val="both"/>
        <w:rPr>
          <w:rFonts w:ascii="Arial" w:hAnsi="Arial" w:cs="Arial"/>
          <w:sz w:val="20"/>
          <w:lang w:eastAsia="de-DE"/>
        </w:rPr>
      </w:pPr>
      <w:r w:rsidRPr="00310173">
        <w:rPr>
          <w:rFonts w:ascii="Arial" w:hAnsi="Arial" w:cs="Arial"/>
          <w:bCs/>
          <w:sz w:val="20"/>
          <w:lang w:eastAsia="de-DE"/>
        </w:rPr>
        <w:t xml:space="preserve">Auf einen Vertrag über die Anbringung von Werbung auf mobilen Werbeflächen gegen Entgelt sind die Vorschriften über den Mietvertrag anzuwenden (im Anschluss an Senatsurteil vom 7. November 2018 - </w:t>
      </w:r>
      <w:hyperlink r:id="rId7" w:tooltip="BGH, 07.11.2018 - XII ZR 109/17" w:history="1">
        <w:r w:rsidRPr="00310173">
          <w:rPr>
            <w:rStyle w:val="Hyperlink"/>
            <w:rFonts w:ascii="Arial" w:hAnsi="Arial" w:cs="Arial"/>
            <w:bCs/>
            <w:sz w:val="20"/>
            <w:lang w:eastAsia="de-DE"/>
          </w:rPr>
          <w:t>XII ZR 109/17</w:t>
        </w:r>
      </w:hyperlink>
      <w:r w:rsidRPr="00310173">
        <w:rPr>
          <w:rFonts w:ascii="Arial" w:hAnsi="Arial" w:cs="Arial"/>
          <w:bCs/>
          <w:sz w:val="20"/>
          <w:lang w:eastAsia="de-DE"/>
        </w:rPr>
        <w:t xml:space="preserve"> - juris).</w:t>
      </w:r>
    </w:p>
    <w:p w:rsidR="00662325" w:rsidRDefault="00662325" w:rsidP="00A27EEE">
      <w:pPr>
        <w:spacing w:after="0" w:line="240" w:lineRule="auto"/>
        <w:jc w:val="both"/>
        <w:rPr>
          <w:rFonts w:ascii="Arial" w:hAnsi="Arial" w:cs="Arial"/>
          <w:sz w:val="20"/>
          <w:lang w:eastAsia="de-DE"/>
        </w:rPr>
      </w:pPr>
    </w:p>
    <w:p w:rsidR="00662325" w:rsidRPr="00A27EEE" w:rsidRDefault="00662325" w:rsidP="00A27EEE">
      <w:pPr>
        <w:spacing w:after="0" w:line="240" w:lineRule="auto"/>
        <w:jc w:val="both"/>
        <w:rPr>
          <w:rFonts w:ascii="Arial" w:hAnsi="Arial" w:cs="Arial"/>
          <w:sz w:val="20"/>
          <w:lang w:eastAsia="de-DE"/>
        </w:rPr>
      </w:pPr>
    </w:p>
    <w:p w:rsidR="00A27EEE" w:rsidRDefault="00A27EEE" w:rsidP="00310173">
      <w:pPr>
        <w:spacing w:after="0" w:line="240" w:lineRule="auto"/>
        <w:jc w:val="center"/>
        <w:rPr>
          <w:rFonts w:ascii="Arial" w:hAnsi="Arial" w:cs="Arial"/>
          <w:b/>
          <w:sz w:val="20"/>
          <w:lang w:eastAsia="de-DE"/>
        </w:rPr>
      </w:pPr>
      <w:r w:rsidRPr="00A27EEE">
        <w:rPr>
          <w:rFonts w:ascii="Arial" w:hAnsi="Arial" w:cs="Arial"/>
          <w:b/>
          <w:sz w:val="20"/>
          <w:lang w:eastAsia="de-DE"/>
        </w:rPr>
        <w:t>IX.</w:t>
      </w:r>
    </w:p>
    <w:p w:rsidR="00310173" w:rsidRPr="00310173" w:rsidRDefault="00310173" w:rsidP="00310173">
      <w:pPr>
        <w:spacing w:after="0" w:line="240" w:lineRule="auto"/>
        <w:jc w:val="center"/>
        <w:rPr>
          <w:rFonts w:ascii="Arial" w:hAnsi="Arial" w:cs="Arial"/>
          <w:b/>
          <w:sz w:val="20"/>
          <w:lang w:eastAsia="de-DE"/>
        </w:rPr>
      </w:pPr>
      <w:r w:rsidRPr="00310173">
        <w:rPr>
          <w:rFonts w:ascii="Arial" w:hAnsi="Arial" w:cs="Arial"/>
          <w:b/>
          <w:sz w:val="20"/>
          <w:lang w:eastAsia="de-DE"/>
        </w:rPr>
        <w:t xml:space="preserve">Erlaubnis zur gewerbsmäßigen Arbeitnehmerüberlassung - Widerruf - Zuverlässigkeit des Verleihers - </w:t>
      </w:r>
    </w:p>
    <w:p w:rsidR="00310173" w:rsidRPr="00310173" w:rsidRDefault="00310173" w:rsidP="00310173">
      <w:pPr>
        <w:spacing w:after="0" w:line="240" w:lineRule="auto"/>
        <w:jc w:val="center"/>
        <w:rPr>
          <w:rFonts w:ascii="Arial" w:hAnsi="Arial" w:cs="Arial"/>
          <w:sz w:val="20"/>
          <w:lang w:eastAsia="de-DE"/>
        </w:rPr>
      </w:pPr>
      <w:r w:rsidRPr="00310173">
        <w:rPr>
          <w:rFonts w:ascii="Arial" w:hAnsi="Arial" w:cs="Arial"/>
          <w:sz w:val="20"/>
          <w:lang w:eastAsia="de-DE"/>
        </w:rPr>
        <w:t>Landessozialgericht Niedersa</w:t>
      </w:r>
      <w:r>
        <w:rPr>
          <w:rFonts w:ascii="Arial" w:hAnsi="Arial" w:cs="Arial"/>
          <w:sz w:val="20"/>
          <w:lang w:eastAsia="de-DE"/>
        </w:rPr>
        <w:t>chsen-Bremen, Beschluss vom 21.12.</w:t>
      </w:r>
      <w:r w:rsidRPr="00310173">
        <w:rPr>
          <w:rFonts w:ascii="Arial" w:hAnsi="Arial" w:cs="Arial"/>
          <w:sz w:val="20"/>
          <w:lang w:eastAsia="de-DE"/>
        </w:rPr>
        <w:t xml:space="preserve"> 2018</w:t>
      </w:r>
      <w:r>
        <w:rPr>
          <w:rFonts w:ascii="Arial" w:hAnsi="Arial" w:cs="Arial"/>
          <w:sz w:val="20"/>
          <w:lang w:eastAsia="de-DE"/>
        </w:rPr>
        <w:t>, Az. L 7 AL 163/18 B ER</w:t>
      </w:r>
    </w:p>
    <w:p w:rsidR="00A27EEE" w:rsidRDefault="00A27EEE" w:rsidP="00A27EEE">
      <w:pPr>
        <w:spacing w:after="0" w:line="240" w:lineRule="auto"/>
        <w:jc w:val="both"/>
        <w:rPr>
          <w:rFonts w:ascii="Arial" w:hAnsi="Arial" w:cs="Arial"/>
          <w:sz w:val="20"/>
          <w:lang w:eastAsia="de-DE"/>
        </w:rPr>
      </w:pPr>
    </w:p>
    <w:p w:rsidR="00310173" w:rsidRPr="00310173" w:rsidRDefault="00310173" w:rsidP="00310173">
      <w:pPr>
        <w:spacing w:after="0" w:line="240" w:lineRule="auto"/>
        <w:jc w:val="both"/>
        <w:rPr>
          <w:rFonts w:ascii="Arial" w:hAnsi="Arial" w:cs="Arial"/>
          <w:sz w:val="20"/>
          <w:lang w:eastAsia="de-DE"/>
        </w:rPr>
      </w:pPr>
      <w:r w:rsidRPr="00310173">
        <w:rPr>
          <w:rFonts w:ascii="Arial" w:hAnsi="Arial" w:cs="Arial"/>
          <w:sz w:val="20"/>
          <w:lang w:eastAsia="de-DE"/>
        </w:rPr>
        <w:t xml:space="preserve">1. Die für die Erlaubnis zur Überlassung von Arbeitnehmern erforderliche Zuverlässigkeit setzt die Einrichtung und Überwachung einer Organisationsstruktur voraus, die geeignet ist, zu Lasten der Leiharbeitnehmer gehende Verstöße gegen bestehende rechtliche Vorschriften zu vermeiden. </w:t>
      </w:r>
      <w:bookmarkStart w:id="3" w:name="_retrdlink_24"/>
    </w:p>
    <w:p w:rsidR="00310173" w:rsidRPr="00310173" w:rsidRDefault="00310173" w:rsidP="00310173">
      <w:pPr>
        <w:spacing w:after="0" w:line="240" w:lineRule="auto"/>
        <w:jc w:val="both"/>
        <w:rPr>
          <w:rFonts w:ascii="Arial" w:hAnsi="Arial" w:cs="Arial"/>
          <w:sz w:val="20"/>
          <w:lang w:eastAsia="de-DE"/>
        </w:rPr>
      </w:pPr>
      <w:r w:rsidRPr="00310173">
        <w:rPr>
          <w:rFonts w:ascii="Arial" w:hAnsi="Arial" w:cs="Arial"/>
          <w:sz w:val="20"/>
          <w:lang w:eastAsia="de-DE"/>
        </w:rPr>
        <w:t xml:space="preserve">2. Die negative Prognoseentscheidung einer Unzuverlässigkeit kann sich bereits aus der nach der Kenntniserlangung von festgestellten bzw. eingeräumten Verstößen erfolgenden Ablehnung einer Prüfung und ggf. Veränderung der zum Zeitpunkt der Verstöße bestehenden Organisationsstruktur ergeben. </w:t>
      </w:r>
      <w:bookmarkEnd w:id="3"/>
    </w:p>
    <w:p w:rsidR="00310173" w:rsidRDefault="00310173" w:rsidP="00A27EEE">
      <w:pPr>
        <w:spacing w:after="0" w:line="240" w:lineRule="auto"/>
        <w:jc w:val="both"/>
        <w:rPr>
          <w:rFonts w:ascii="Arial" w:hAnsi="Arial" w:cs="Arial"/>
          <w:sz w:val="20"/>
          <w:lang w:eastAsia="de-DE"/>
        </w:rPr>
      </w:pPr>
    </w:p>
    <w:p w:rsidR="00310173" w:rsidRDefault="00310173" w:rsidP="00310173">
      <w:pPr>
        <w:spacing w:after="0" w:line="240" w:lineRule="auto"/>
        <w:jc w:val="center"/>
        <w:rPr>
          <w:rFonts w:ascii="Arial" w:hAnsi="Arial" w:cs="Arial"/>
          <w:b/>
          <w:sz w:val="20"/>
          <w:lang w:eastAsia="de-DE"/>
        </w:rPr>
      </w:pPr>
      <w:r w:rsidRPr="00310173">
        <w:rPr>
          <w:rFonts w:ascii="Arial" w:hAnsi="Arial" w:cs="Arial"/>
          <w:b/>
          <w:sz w:val="20"/>
          <w:lang w:eastAsia="de-DE"/>
        </w:rPr>
        <w:t>X.</w:t>
      </w:r>
    </w:p>
    <w:p w:rsidR="00054F9E" w:rsidRPr="00054F9E" w:rsidRDefault="00054F9E" w:rsidP="00054F9E">
      <w:pPr>
        <w:spacing w:after="0" w:line="240" w:lineRule="auto"/>
        <w:jc w:val="center"/>
        <w:rPr>
          <w:rFonts w:ascii="Arial" w:hAnsi="Arial" w:cs="Arial"/>
          <w:b/>
          <w:sz w:val="20"/>
          <w:lang w:eastAsia="de-DE"/>
        </w:rPr>
      </w:pPr>
      <w:r w:rsidRPr="00054F9E">
        <w:rPr>
          <w:rFonts w:ascii="Arial" w:hAnsi="Arial" w:cs="Arial"/>
          <w:b/>
          <w:sz w:val="20"/>
          <w:lang w:eastAsia="de-DE"/>
        </w:rPr>
        <w:t>Provisionsabrechnungen</w:t>
      </w:r>
      <w:r>
        <w:rPr>
          <w:rFonts w:ascii="Arial" w:hAnsi="Arial" w:cs="Arial"/>
          <w:b/>
          <w:sz w:val="20"/>
          <w:lang w:eastAsia="de-DE"/>
        </w:rPr>
        <w:t xml:space="preserve"> bei Lebensversicherungsverträgen</w:t>
      </w:r>
    </w:p>
    <w:p w:rsidR="00310173" w:rsidRPr="00310173" w:rsidRDefault="00310173" w:rsidP="00310173">
      <w:pPr>
        <w:spacing w:after="0" w:line="240" w:lineRule="auto"/>
        <w:jc w:val="center"/>
        <w:rPr>
          <w:rFonts w:ascii="Arial" w:hAnsi="Arial" w:cs="Arial"/>
          <w:sz w:val="20"/>
          <w:lang w:eastAsia="de-DE"/>
        </w:rPr>
      </w:pPr>
      <w:r w:rsidRPr="00310173">
        <w:rPr>
          <w:rFonts w:ascii="Arial" w:hAnsi="Arial" w:cs="Arial"/>
          <w:sz w:val="20"/>
          <w:lang w:eastAsia="de-DE"/>
        </w:rPr>
        <w:t>BG</w:t>
      </w:r>
      <w:r>
        <w:rPr>
          <w:rFonts w:ascii="Arial" w:hAnsi="Arial" w:cs="Arial"/>
          <w:sz w:val="20"/>
          <w:lang w:eastAsia="de-DE"/>
        </w:rPr>
        <w:t>H, Urteil vom 20.12.2018, Az. VII ZR 69/18</w:t>
      </w:r>
    </w:p>
    <w:p w:rsidR="00662325" w:rsidRDefault="00662325" w:rsidP="00310173">
      <w:pPr>
        <w:pStyle w:val="StandardWeb"/>
        <w:spacing w:before="0" w:beforeAutospacing="0" w:after="0" w:afterAutospacing="0"/>
        <w:rPr>
          <w:rFonts w:ascii="Arial" w:hAnsi="Arial" w:cs="Arial"/>
          <w:sz w:val="20"/>
          <w:szCs w:val="20"/>
        </w:rPr>
      </w:pPr>
    </w:p>
    <w:p w:rsidR="00310173" w:rsidRDefault="00310173" w:rsidP="00310173">
      <w:pPr>
        <w:pStyle w:val="StandardWeb"/>
        <w:spacing w:before="0" w:beforeAutospacing="0" w:after="0" w:afterAutospacing="0"/>
        <w:jc w:val="both"/>
        <w:rPr>
          <w:rFonts w:ascii="Arial" w:hAnsi="Arial" w:cs="Arial"/>
          <w:sz w:val="20"/>
          <w:szCs w:val="20"/>
        </w:rPr>
      </w:pPr>
      <w:r w:rsidRPr="00310173">
        <w:rPr>
          <w:rFonts w:ascii="Arial" w:hAnsi="Arial" w:cs="Arial"/>
          <w:sz w:val="20"/>
          <w:szCs w:val="20"/>
        </w:rPr>
        <w:t xml:space="preserve">Vermittelt der Versicherungsvertreter dynamische Lebensversicherungen, bei denen sich die Versicherungssumme nach dem Inhalt des Versicherungsvertrags in regelmäßigen Zeitabständen erhöht, wenn der Versicherungsnehmer nicht widerspricht, gehen die Erhöhungen auf die Vermittlungstätigkeit bei Abschluss des Versicherungsvertrags zurück und sind gemäß </w:t>
      </w:r>
      <w:hyperlink r:id="rId8" w:tooltip="§ 92 HGB, Bundesnorm, [Versicherungsvertreter], Handelsgesetzbuch, gültig ab 01.01.1964" w:history="1">
        <w:r w:rsidRPr="00310173">
          <w:rPr>
            <w:rStyle w:val="Hyperlink"/>
            <w:rFonts w:ascii="Arial" w:hAnsi="Arial" w:cs="Arial"/>
            <w:sz w:val="20"/>
            <w:szCs w:val="20"/>
          </w:rPr>
          <w:t xml:space="preserve">§ 92 </w:t>
        </w:r>
      </w:hyperlink>
      <w:r w:rsidRPr="00310173">
        <w:rPr>
          <w:rFonts w:ascii="Arial" w:hAnsi="Arial" w:cs="Arial"/>
          <w:sz w:val="20"/>
          <w:szCs w:val="20"/>
        </w:rPr>
        <w:t xml:space="preserve">Abs. 2, Abs. 3 Satz 1, </w:t>
      </w:r>
      <w:hyperlink r:id="rId9" w:tooltip="§ 87 HGB, Bundesnorm, [Provisionspflichtige Geschäfte], Handelsgesetzbuch, gültig ab 01.01.1990" w:history="1">
        <w:r w:rsidRPr="00310173">
          <w:rPr>
            <w:rStyle w:val="Hyperlink"/>
            <w:rFonts w:ascii="Arial" w:hAnsi="Arial" w:cs="Arial"/>
            <w:sz w:val="20"/>
            <w:szCs w:val="20"/>
          </w:rPr>
          <w:t>§ 87 Abs. 1 Satz 1 HGB</w:t>
        </w:r>
      </w:hyperlink>
      <w:r w:rsidRPr="00310173">
        <w:rPr>
          <w:rFonts w:ascii="Arial" w:hAnsi="Arial" w:cs="Arial"/>
          <w:sz w:val="20"/>
          <w:szCs w:val="20"/>
        </w:rPr>
        <w:t xml:space="preserve"> im Zweifel provisionspflichtig.</w:t>
      </w:r>
    </w:p>
    <w:p w:rsidR="00310173" w:rsidRPr="00310173" w:rsidRDefault="00310173" w:rsidP="00310173">
      <w:pPr>
        <w:pStyle w:val="StandardWeb"/>
        <w:spacing w:before="0" w:beforeAutospacing="0" w:after="0" w:afterAutospacing="0"/>
        <w:jc w:val="both"/>
        <w:rPr>
          <w:rFonts w:ascii="Arial" w:hAnsi="Arial" w:cs="Arial"/>
          <w:sz w:val="20"/>
          <w:szCs w:val="20"/>
        </w:rPr>
      </w:pPr>
    </w:p>
    <w:p w:rsidR="00310173" w:rsidRDefault="00310173" w:rsidP="00310173">
      <w:pPr>
        <w:pStyle w:val="StandardWeb"/>
        <w:spacing w:before="0" w:beforeAutospacing="0" w:after="0" w:afterAutospacing="0"/>
        <w:rPr>
          <w:rFonts w:ascii="Arial" w:hAnsi="Arial" w:cs="Arial"/>
          <w:sz w:val="20"/>
          <w:szCs w:val="20"/>
        </w:rPr>
      </w:pPr>
    </w:p>
    <w:p w:rsidR="00054F9E" w:rsidRPr="00310173" w:rsidRDefault="00054F9E" w:rsidP="00310173">
      <w:pPr>
        <w:pStyle w:val="StandardWeb"/>
        <w:spacing w:before="0" w:beforeAutospacing="0" w:after="0" w:afterAutospacing="0"/>
        <w:rPr>
          <w:rFonts w:ascii="Arial" w:hAnsi="Arial" w:cs="Arial"/>
          <w:sz w:val="20"/>
          <w:szCs w:val="20"/>
        </w:rPr>
      </w:pPr>
    </w:p>
    <w:p w:rsidR="00054F9E" w:rsidRPr="00054F9E" w:rsidRDefault="00054F9E" w:rsidP="00054F9E">
      <w:pPr>
        <w:spacing w:after="0" w:line="240" w:lineRule="auto"/>
        <w:rPr>
          <w:rFonts w:ascii="Arial" w:hAnsi="Arial"/>
          <w:sz w:val="20"/>
          <w:szCs w:val="20"/>
          <w:lang w:eastAsia="de-DE"/>
        </w:rPr>
      </w:pPr>
      <w:r w:rsidRPr="00054F9E">
        <w:rPr>
          <w:rFonts w:ascii="Arial" w:hAnsi="Arial"/>
          <w:sz w:val="20"/>
          <w:szCs w:val="20"/>
          <w:lang w:eastAsia="de-DE"/>
        </w:rPr>
        <w:t>Für Rückfragen stehe ich Ihnen gerne zur Verfügung.</w:t>
      </w:r>
    </w:p>
    <w:p w:rsidR="00054F9E" w:rsidRPr="00054F9E" w:rsidRDefault="00054F9E" w:rsidP="00054F9E">
      <w:pPr>
        <w:spacing w:after="0" w:line="240" w:lineRule="auto"/>
        <w:rPr>
          <w:rFonts w:ascii="Arial" w:hAnsi="Arial"/>
          <w:sz w:val="20"/>
          <w:szCs w:val="20"/>
          <w:lang w:eastAsia="de-DE"/>
        </w:rPr>
      </w:pPr>
    </w:p>
    <w:p w:rsidR="00054F9E" w:rsidRPr="00054F9E" w:rsidRDefault="00054F9E" w:rsidP="00054F9E">
      <w:pPr>
        <w:spacing w:after="0" w:line="240" w:lineRule="auto"/>
        <w:rPr>
          <w:rFonts w:ascii="Arial" w:hAnsi="Arial"/>
          <w:sz w:val="20"/>
          <w:szCs w:val="20"/>
          <w:lang w:eastAsia="de-DE"/>
        </w:rPr>
      </w:pPr>
    </w:p>
    <w:p w:rsidR="00054F9E" w:rsidRPr="00054F9E" w:rsidRDefault="00054F9E" w:rsidP="00054F9E">
      <w:pPr>
        <w:spacing w:after="0" w:line="240" w:lineRule="auto"/>
        <w:rPr>
          <w:rFonts w:ascii="Arial" w:hAnsi="Arial"/>
          <w:sz w:val="20"/>
          <w:szCs w:val="20"/>
          <w:lang w:eastAsia="de-DE"/>
        </w:rPr>
      </w:pPr>
      <w:r w:rsidRPr="00054F9E">
        <w:rPr>
          <w:rFonts w:ascii="Arial" w:hAnsi="Arial"/>
          <w:sz w:val="20"/>
          <w:szCs w:val="20"/>
          <w:lang w:eastAsia="de-DE"/>
        </w:rPr>
        <w:t>Michael Henn</w:t>
      </w:r>
    </w:p>
    <w:p w:rsidR="00054F9E" w:rsidRPr="00054F9E" w:rsidRDefault="00054F9E" w:rsidP="00054F9E">
      <w:pPr>
        <w:spacing w:after="0" w:line="240" w:lineRule="auto"/>
        <w:rPr>
          <w:rFonts w:ascii="Arial" w:hAnsi="Arial"/>
          <w:sz w:val="20"/>
          <w:szCs w:val="20"/>
          <w:lang w:eastAsia="de-DE"/>
        </w:rPr>
      </w:pPr>
      <w:r w:rsidRPr="00054F9E">
        <w:rPr>
          <w:rFonts w:ascii="Arial" w:hAnsi="Arial"/>
          <w:sz w:val="20"/>
          <w:szCs w:val="20"/>
          <w:lang w:eastAsia="de-DE"/>
        </w:rPr>
        <w:t>Rechtsanwalt</w:t>
      </w:r>
    </w:p>
    <w:p w:rsidR="00054F9E" w:rsidRPr="00054F9E" w:rsidRDefault="00054F9E" w:rsidP="00054F9E">
      <w:pPr>
        <w:spacing w:after="0" w:line="240" w:lineRule="auto"/>
        <w:rPr>
          <w:rFonts w:ascii="Arial" w:hAnsi="Arial"/>
          <w:sz w:val="20"/>
          <w:szCs w:val="20"/>
          <w:lang w:eastAsia="de-DE"/>
        </w:rPr>
      </w:pPr>
      <w:r w:rsidRPr="00054F9E">
        <w:rPr>
          <w:rFonts w:ascii="Arial" w:hAnsi="Arial"/>
          <w:sz w:val="20"/>
          <w:szCs w:val="20"/>
          <w:lang w:eastAsia="de-DE"/>
        </w:rPr>
        <w:t>Fachanwalt für Erbrecht</w:t>
      </w:r>
    </w:p>
    <w:p w:rsidR="00054F9E" w:rsidRPr="00054F9E" w:rsidRDefault="00054F9E" w:rsidP="00054F9E">
      <w:pPr>
        <w:spacing w:after="0" w:line="240" w:lineRule="auto"/>
        <w:rPr>
          <w:rFonts w:ascii="Arial" w:hAnsi="Arial"/>
          <w:sz w:val="20"/>
          <w:szCs w:val="20"/>
          <w:lang w:eastAsia="de-DE"/>
        </w:rPr>
      </w:pPr>
      <w:r w:rsidRPr="00054F9E">
        <w:rPr>
          <w:rFonts w:ascii="Arial" w:hAnsi="Arial"/>
          <w:sz w:val="20"/>
          <w:szCs w:val="20"/>
          <w:lang w:eastAsia="de-DE"/>
        </w:rPr>
        <w:t xml:space="preserve">Fachanwalt für Arbeitsrecht </w:t>
      </w:r>
    </w:p>
    <w:p w:rsidR="00054F9E" w:rsidRPr="00054F9E" w:rsidRDefault="00054F9E" w:rsidP="00054F9E">
      <w:pPr>
        <w:spacing w:after="0" w:line="240" w:lineRule="auto"/>
        <w:rPr>
          <w:rFonts w:ascii="Arial" w:hAnsi="Arial"/>
          <w:sz w:val="20"/>
          <w:szCs w:val="20"/>
          <w:lang w:eastAsia="de-DE"/>
        </w:rPr>
      </w:pPr>
      <w:r w:rsidRPr="00054F9E">
        <w:rPr>
          <w:rFonts w:ascii="Arial" w:hAnsi="Arial"/>
          <w:sz w:val="20"/>
          <w:szCs w:val="20"/>
          <w:lang w:eastAsia="de-DE"/>
        </w:rPr>
        <w:t xml:space="preserve">Schriftleiter mittelstandsdepesche </w:t>
      </w:r>
    </w:p>
    <w:p w:rsidR="00054F9E" w:rsidRPr="00054F9E" w:rsidRDefault="00054F9E" w:rsidP="00054F9E">
      <w:pPr>
        <w:spacing w:after="0" w:line="240" w:lineRule="auto"/>
        <w:rPr>
          <w:rFonts w:ascii="Arial" w:hAnsi="Arial"/>
          <w:sz w:val="20"/>
          <w:szCs w:val="20"/>
          <w:lang w:eastAsia="de-DE"/>
        </w:rPr>
      </w:pPr>
      <w:r w:rsidRPr="00054F9E">
        <w:rPr>
          <w:rFonts w:ascii="Arial" w:hAnsi="Arial"/>
          <w:sz w:val="20"/>
          <w:szCs w:val="20"/>
          <w:lang w:eastAsia="de-DE"/>
        </w:rPr>
        <w:t>Rechtsanwälte Dr. Gaupp &amp; Coll.</w:t>
      </w:r>
    </w:p>
    <w:p w:rsidR="00054F9E" w:rsidRPr="00054F9E" w:rsidRDefault="00054F9E" w:rsidP="00054F9E">
      <w:pPr>
        <w:spacing w:after="0" w:line="240" w:lineRule="auto"/>
        <w:rPr>
          <w:rFonts w:ascii="Arial" w:hAnsi="Arial"/>
          <w:sz w:val="20"/>
          <w:szCs w:val="20"/>
          <w:lang w:eastAsia="de-DE"/>
        </w:rPr>
      </w:pPr>
      <w:r w:rsidRPr="00054F9E">
        <w:rPr>
          <w:rFonts w:ascii="Arial" w:hAnsi="Arial"/>
          <w:sz w:val="20"/>
          <w:szCs w:val="20"/>
          <w:lang w:eastAsia="de-DE"/>
        </w:rPr>
        <w:t xml:space="preserve">Kronprinzstr. 14 </w:t>
      </w:r>
    </w:p>
    <w:p w:rsidR="00054F9E" w:rsidRPr="00054F9E" w:rsidRDefault="00054F9E" w:rsidP="00054F9E">
      <w:pPr>
        <w:spacing w:after="0" w:line="240" w:lineRule="auto"/>
        <w:rPr>
          <w:rFonts w:ascii="Arial" w:hAnsi="Arial"/>
          <w:sz w:val="20"/>
          <w:szCs w:val="20"/>
          <w:lang w:eastAsia="de-DE"/>
        </w:rPr>
      </w:pPr>
      <w:r w:rsidRPr="00054F9E">
        <w:rPr>
          <w:rFonts w:ascii="Arial" w:hAnsi="Arial"/>
          <w:sz w:val="20"/>
          <w:szCs w:val="20"/>
          <w:lang w:eastAsia="de-DE"/>
        </w:rPr>
        <w:t>70173 Stuttgart</w:t>
      </w:r>
    </w:p>
    <w:p w:rsidR="00054F9E" w:rsidRPr="00054F9E" w:rsidRDefault="00054F9E" w:rsidP="00054F9E">
      <w:pPr>
        <w:spacing w:after="0" w:line="240" w:lineRule="auto"/>
        <w:rPr>
          <w:rFonts w:ascii="Arial" w:hAnsi="Arial"/>
          <w:sz w:val="20"/>
          <w:szCs w:val="20"/>
          <w:lang w:eastAsia="de-DE"/>
        </w:rPr>
      </w:pPr>
      <w:r w:rsidRPr="00054F9E">
        <w:rPr>
          <w:rFonts w:ascii="Arial" w:hAnsi="Arial"/>
          <w:sz w:val="20"/>
          <w:szCs w:val="20"/>
          <w:lang w:eastAsia="de-DE"/>
        </w:rPr>
        <w:t>Tel.: 0711/ 30 58 93-0</w:t>
      </w:r>
      <w:r w:rsidRPr="00054F9E">
        <w:rPr>
          <w:rFonts w:ascii="Arial" w:hAnsi="Arial"/>
          <w:sz w:val="20"/>
          <w:szCs w:val="20"/>
          <w:lang w:eastAsia="de-DE"/>
        </w:rPr>
        <w:tab/>
      </w:r>
      <w:r w:rsidRPr="00054F9E">
        <w:rPr>
          <w:rFonts w:ascii="Arial" w:hAnsi="Arial"/>
          <w:sz w:val="20"/>
          <w:szCs w:val="20"/>
          <w:lang w:eastAsia="de-DE"/>
        </w:rPr>
        <w:tab/>
        <w:t>Fax: 0711/ 30 58 93-11</w:t>
      </w:r>
    </w:p>
    <w:p w:rsidR="00054F9E" w:rsidRPr="00054F9E" w:rsidRDefault="00054F9E" w:rsidP="00054F9E">
      <w:pPr>
        <w:spacing w:after="0" w:line="240" w:lineRule="auto"/>
        <w:rPr>
          <w:rFonts w:ascii="Arial" w:hAnsi="Arial"/>
          <w:sz w:val="20"/>
          <w:szCs w:val="20"/>
          <w:lang w:eastAsia="de-DE"/>
        </w:rPr>
      </w:pPr>
      <w:r w:rsidRPr="00054F9E">
        <w:rPr>
          <w:rFonts w:ascii="Arial" w:hAnsi="Arial"/>
          <w:sz w:val="20"/>
          <w:szCs w:val="20"/>
          <w:lang w:eastAsia="de-DE"/>
        </w:rPr>
        <w:t xml:space="preserve">E-Mail: </w:t>
      </w:r>
      <w:hyperlink r:id="rId10" w:history="1">
        <w:r w:rsidRPr="00054F9E">
          <w:rPr>
            <w:rFonts w:ascii="Arial" w:hAnsi="Arial"/>
            <w:color w:val="0563C1" w:themeColor="hyperlink"/>
            <w:sz w:val="20"/>
            <w:szCs w:val="20"/>
            <w:u w:val="single"/>
            <w:lang w:eastAsia="de-DE"/>
          </w:rPr>
          <w:t>henn@drgaupp.de</w:t>
        </w:r>
      </w:hyperlink>
      <w:r w:rsidRPr="00054F9E">
        <w:rPr>
          <w:rFonts w:ascii="Arial" w:hAnsi="Arial"/>
          <w:sz w:val="20"/>
          <w:szCs w:val="20"/>
          <w:lang w:eastAsia="de-DE"/>
        </w:rPr>
        <w:tab/>
      </w:r>
      <w:hyperlink r:id="rId11" w:history="1">
        <w:r w:rsidRPr="00054F9E">
          <w:rPr>
            <w:rFonts w:ascii="Arial" w:hAnsi="Arial"/>
            <w:color w:val="0563C1" w:themeColor="hyperlink"/>
            <w:sz w:val="20"/>
            <w:szCs w:val="20"/>
            <w:u w:val="single"/>
            <w:lang w:eastAsia="de-DE"/>
          </w:rPr>
          <w:t>www.drgaupp.de</w:t>
        </w:r>
      </w:hyperlink>
    </w:p>
    <w:p w:rsidR="00054F9E" w:rsidRPr="00054F9E" w:rsidRDefault="00054F9E" w:rsidP="00054F9E">
      <w:pPr>
        <w:spacing w:after="0" w:line="240" w:lineRule="auto"/>
        <w:rPr>
          <w:rFonts w:ascii="Arial" w:hAnsi="Arial"/>
          <w:sz w:val="20"/>
          <w:szCs w:val="20"/>
          <w:lang w:eastAsia="de-DE"/>
        </w:rPr>
      </w:pPr>
    </w:p>
    <w:p w:rsidR="00054F9E" w:rsidRPr="00054F9E" w:rsidRDefault="00054F9E" w:rsidP="00054F9E">
      <w:pPr>
        <w:spacing w:after="0" w:line="240" w:lineRule="auto"/>
        <w:rPr>
          <w:rFonts w:ascii="Arial" w:hAnsi="Arial" w:cs="Arial"/>
          <w:sz w:val="20"/>
          <w:szCs w:val="20"/>
          <w:lang w:eastAsia="de-DE"/>
        </w:rPr>
      </w:pPr>
    </w:p>
    <w:p w:rsidR="00662325" w:rsidRPr="00A27EEE" w:rsidRDefault="00662325" w:rsidP="00A27EEE">
      <w:pPr>
        <w:spacing w:after="0" w:line="240" w:lineRule="auto"/>
        <w:jc w:val="both"/>
        <w:rPr>
          <w:rFonts w:ascii="Arial" w:hAnsi="Arial" w:cs="Arial"/>
          <w:sz w:val="20"/>
          <w:lang w:eastAsia="de-DE"/>
        </w:rPr>
      </w:pPr>
    </w:p>
    <w:sectPr w:rsidR="00662325" w:rsidRPr="00A27EEE">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6FA" w:rsidRDefault="00B256FA" w:rsidP="00A27EEE">
      <w:pPr>
        <w:spacing w:after="0" w:line="240" w:lineRule="auto"/>
      </w:pPr>
      <w:r>
        <w:separator/>
      </w:r>
    </w:p>
  </w:endnote>
  <w:endnote w:type="continuationSeparator" w:id="0">
    <w:p w:rsidR="00B256FA" w:rsidRDefault="00B256FA" w:rsidP="00A27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altName w:val="Univers 57 Condensed"/>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6FA" w:rsidRDefault="00B256FA" w:rsidP="00A27EEE">
      <w:pPr>
        <w:spacing w:after="0" w:line="240" w:lineRule="auto"/>
      </w:pPr>
      <w:r>
        <w:separator/>
      </w:r>
    </w:p>
  </w:footnote>
  <w:footnote w:type="continuationSeparator" w:id="0">
    <w:p w:rsidR="00B256FA" w:rsidRDefault="00B256FA" w:rsidP="00A27E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EEE" w:rsidRPr="00A27EEE" w:rsidRDefault="00A27EEE" w:rsidP="00A27EEE">
    <w:pPr>
      <w:tabs>
        <w:tab w:val="center" w:pos="4819"/>
        <w:tab w:val="right" w:pos="9071"/>
      </w:tabs>
      <w:spacing w:after="0" w:line="240" w:lineRule="auto"/>
      <w:jc w:val="center"/>
      <w:rPr>
        <w:rFonts w:ascii="Arial" w:hAnsi="Arial" w:cs="Arial"/>
        <w:sz w:val="24"/>
        <w:szCs w:val="20"/>
        <w:lang w:val="en-US" w:eastAsia="de-DE"/>
      </w:rPr>
    </w:pPr>
    <w:r w:rsidRPr="00A27EEE">
      <w:rPr>
        <w:rFonts w:ascii="Arial" w:hAnsi="Arial" w:cs="Arial"/>
        <w:b/>
        <w:bCs/>
        <w:sz w:val="28"/>
        <w:szCs w:val="28"/>
        <w:lang w:val="en-US" w:eastAsia="de-DE"/>
      </w:rPr>
      <w:t>mittelstandsdepesche 01-2019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234ED"/>
    <w:multiLevelType w:val="multilevel"/>
    <w:tmpl w:val="278ED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0B44DB"/>
    <w:multiLevelType w:val="hybridMultilevel"/>
    <w:tmpl w:val="F1FE359E"/>
    <w:lvl w:ilvl="0" w:tplc="208AC4F8">
      <w:start w:val="1"/>
      <w:numFmt w:val="lowerLetter"/>
      <w:lvlText w:val="%1)"/>
      <w:lvlJc w:val="left"/>
      <w:pPr>
        <w:ind w:left="720" w:hanging="360"/>
      </w:pPr>
      <w:rPr>
        <w:rFonts w:ascii="Arial" w:hAnsi="Arial" w:cs="Arial" w:hint="default"/>
        <w:sz w:val="21"/>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15:restartNumberingAfterBreak="0">
    <w:nsid w:val="41466327"/>
    <w:multiLevelType w:val="hybridMultilevel"/>
    <w:tmpl w:val="B81699F0"/>
    <w:lvl w:ilvl="0" w:tplc="1E04D5D4">
      <w:start w:val="1"/>
      <w:numFmt w:val="lowerLetter"/>
      <w:lvlText w:val="%1)"/>
      <w:lvlJc w:val="left"/>
      <w:pPr>
        <w:ind w:left="720" w:hanging="360"/>
      </w:pPr>
      <w:rPr>
        <w:rFonts w:ascii="Arial" w:hAnsi="Arial" w:cs="Arial" w:hint="default"/>
        <w:sz w:val="21"/>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15:restartNumberingAfterBreak="0">
    <w:nsid w:val="520672B4"/>
    <w:multiLevelType w:val="multilevel"/>
    <w:tmpl w:val="55A2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6348D7"/>
    <w:multiLevelType w:val="multilevel"/>
    <w:tmpl w:val="4FAE2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7A34DF"/>
    <w:multiLevelType w:val="multilevel"/>
    <w:tmpl w:val="F804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BB"/>
    <w:rsid w:val="00054F9E"/>
    <w:rsid w:val="001443CA"/>
    <w:rsid w:val="00293CBB"/>
    <w:rsid w:val="00310173"/>
    <w:rsid w:val="004C6961"/>
    <w:rsid w:val="004D2213"/>
    <w:rsid w:val="005409B7"/>
    <w:rsid w:val="005A0E3D"/>
    <w:rsid w:val="005B553A"/>
    <w:rsid w:val="00615F59"/>
    <w:rsid w:val="00616F14"/>
    <w:rsid w:val="00660C29"/>
    <w:rsid w:val="00662325"/>
    <w:rsid w:val="0071554D"/>
    <w:rsid w:val="00721D8B"/>
    <w:rsid w:val="00807710"/>
    <w:rsid w:val="008E16F7"/>
    <w:rsid w:val="00A27EEE"/>
    <w:rsid w:val="00B256FA"/>
    <w:rsid w:val="00B6015D"/>
    <w:rsid w:val="00B86366"/>
    <w:rsid w:val="00CF391C"/>
    <w:rsid w:val="00F823EA"/>
    <w:rsid w:val="00F85D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F697748-18EC-4D48-9498-256849EF3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cs="Times New Roman"/>
    </w:rPr>
  </w:style>
  <w:style w:type="paragraph" w:styleId="berschrift2">
    <w:name w:val="heading 2"/>
    <w:basedOn w:val="Standard"/>
    <w:next w:val="Standard"/>
    <w:link w:val="berschrift2Zchn"/>
    <w:uiPriority w:val="9"/>
    <w:semiHidden/>
    <w:unhideWhenUsed/>
    <w:qFormat/>
    <w:rsid w:val="00662325"/>
    <w:pPr>
      <w:keepNext/>
      <w:keepLines/>
      <w:spacing w:before="40" w:after="0"/>
      <w:outlineLvl w:val="1"/>
    </w:pPr>
    <w:rPr>
      <w:rFonts w:asciiTheme="majorHAnsi" w:eastAsiaTheme="majorEastAsia" w:hAnsiTheme="majorHAnsi"/>
      <w:color w:val="2E74B5" w:themeColor="accent1" w:themeShade="BF"/>
      <w:sz w:val="26"/>
      <w:szCs w:val="26"/>
    </w:rPr>
  </w:style>
  <w:style w:type="paragraph" w:styleId="berschrift3">
    <w:name w:val="heading 3"/>
    <w:basedOn w:val="Standard"/>
    <w:link w:val="berschrift3Zchn"/>
    <w:uiPriority w:val="9"/>
    <w:semiHidden/>
    <w:unhideWhenUsed/>
    <w:qFormat/>
    <w:rsid w:val="004D2213"/>
    <w:pPr>
      <w:spacing w:after="75" w:line="240" w:lineRule="atLeast"/>
      <w:outlineLvl w:val="2"/>
    </w:pPr>
    <w:rPr>
      <w:rFonts w:ascii="Times New Roman" w:hAnsi="Times New Roman"/>
      <w:b/>
      <w:bCs/>
      <w:sz w:val="24"/>
      <w:szCs w:val="24"/>
      <w:lang w:eastAsia="de-DE"/>
    </w:rPr>
  </w:style>
  <w:style w:type="paragraph" w:styleId="berschrift4">
    <w:name w:val="heading 4"/>
    <w:basedOn w:val="Standard"/>
    <w:link w:val="berschrift4Zchn"/>
    <w:uiPriority w:val="9"/>
    <w:semiHidden/>
    <w:unhideWhenUsed/>
    <w:qFormat/>
    <w:rsid w:val="004D2213"/>
    <w:pPr>
      <w:spacing w:after="150" w:line="240" w:lineRule="auto"/>
      <w:outlineLvl w:val="3"/>
    </w:pPr>
    <w:rPr>
      <w:rFonts w:ascii="Times New Roman" w:hAnsi="Times New Roman"/>
      <w:color w:val="666666"/>
      <w:sz w:val="21"/>
      <w:szCs w:val="21"/>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semiHidden/>
    <w:locked/>
    <w:rsid w:val="00662325"/>
    <w:rPr>
      <w:rFonts w:asciiTheme="majorHAnsi" w:eastAsiaTheme="majorEastAsia" w:hAnsiTheme="majorHAnsi" w:cs="Times New Roman"/>
      <w:color w:val="2E74B5" w:themeColor="accent1" w:themeShade="BF"/>
      <w:sz w:val="26"/>
      <w:szCs w:val="26"/>
    </w:rPr>
  </w:style>
  <w:style w:type="character" w:customStyle="1" w:styleId="berschrift3Zchn">
    <w:name w:val="Überschrift 3 Zchn"/>
    <w:basedOn w:val="Absatz-Standardschriftart"/>
    <w:link w:val="berschrift3"/>
    <w:uiPriority w:val="9"/>
    <w:semiHidden/>
    <w:locked/>
    <w:rsid w:val="004D2213"/>
    <w:rPr>
      <w:rFonts w:ascii="Times New Roman" w:hAnsi="Times New Roman" w:cs="Times New Roman"/>
      <w:b/>
      <w:bCs/>
      <w:sz w:val="24"/>
      <w:szCs w:val="24"/>
      <w:lang w:val="x-none" w:eastAsia="de-DE"/>
    </w:rPr>
  </w:style>
  <w:style w:type="character" w:customStyle="1" w:styleId="berschrift4Zchn">
    <w:name w:val="Überschrift 4 Zchn"/>
    <w:basedOn w:val="Absatz-Standardschriftart"/>
    <w:link w:val="berschrift4"/>
    <w:uiPriority w:val="9"/>
    <w:semiHidden/>
    <w:locked/>
    <w:rsid w:val="004D2213"/>
    <w:rPr>
      <w:rFonts w:ascii="Times New Roman" w:hAnsi="Times New Roman" w:cs="Times New Roman"/>
      <w:color w:val="666666"/>
      <w:sz w:val="21"/>
      <w:szCs w:val="21"/>
      <w:lang w:val="x-none" w:eastAsia="de-DE"/>
    </w:rPr>
  </w:style>
  <w:style w:type="character" w:styleId="Hyperlink">
    <w:name w:val="Hyperlink"/>
    <w:basedOn w:val="Absatz-Standardschriftart"/>
    <w:uiPriority w:val="99"/>
    <w:unhideWhenUsed/>
    <w:rsid w:val="004D2213"/>
    <w:rPr>
      <w:rFonts w:cs="Times New Roman"/>
      <w:i/>
      <w:iCs/>
      <w:color w:val="000000"/>
      <w:u w:val="single"/>
    </w:rPr>
  </w:style>
  <w:style w:type="paragraph" w:styleId="Listenabsatz">
    <w:name w:val="List Paragraph"/>
    <w:basedOn w:val="Standard"/>
    <w:uiPriority w:val="34"/>
    <w:qFormat/>
    <w:rsid w:val="005B553A"/>
    <w:pPr>
      <w:ind w:left="720"/>
      <w:contextualSpacing/>
    </w:pPr>
  </w:style>
  <w:style w:type="paragraph" w:styleId="Kopfzeile">
    <w:name w:val="header"/>
    <w:basedOn w:val="Standard"/>
    <w:link w:val="KopfzeileZchn"/>
    <w:uiPriority w:val="99"/>
    <w:unhideWhenUsed/>
    <w:rsid w:val="00A27EE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A27EEE"/>
    <w:rPr>
      <w:rFonts w:cs="Times New Roman"/>
    </w:rPr>
  </w:style>
  <w:style w:type="paragraph" w:styleId="Fuzeile">
    <w:name w:val="footer"/>
    <w:basedOn w:val="Standard"/>
    <w:link w:val="FuzeileZchn"/>
    <w:uiPriority w:val="99"/>
    <w:unhideWhenUsed/>
    <w:rsid w:val="00A27EEE"/>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A27EEE"/>
    <w:rPr>
      <w:rFonts w:cs="Times New Roman"/>
    </w:rPr>
  </w:style>
  <w:style w:type="character" w:styleId="Fett">
    <w:name w:val="Strong"/>
    <w:basedOn w:val="Absatz-Standardschriftart"/>
    <w:uiPriority w:val="22"/>
    <w:qFormat/>
    <w:rsid w:val="00662325"/>
    <w:rPr>
      <w:rFonts w:cs="Times New Roman"/>
      <w:b/>
      <w:bCs/>
    </w:rPr>
  </w:style>
  <w:style w:type="character" w:customStyle="1" w:styleId="doclink">
    <w:name w:val="doclink"/>
    <w:basedOn w:val="Absatz-Standardschriftart"/>
    <w:rsid w:val="00662325"/>
    <w:rPr>
      <w:rFonts w:cs="Times New Roman"/>
    </w:rPr>
  </w:style>
  <w:style w:type="paragraph" w:styleId="StandardWeb">
    <w:name w:val="Normal (Web)"/>
    <w:basedOn w:val="Standard"/>
    <w:uiPriority w:val="99"/>
    <w:semiHidden/>
    <w:unhideWhenUsed/>
    <w:rsid w:val="00662325"/>
    <w:pPr>
      <w:spacing w:before="100" w:beforeAutospacing="1" w:after="100" w:afterAutospacing="1" w:line="240" w:lineRule="auto"/>
    </w:pPr>
    <w:rPr>
      <w:rFonts w:ascii="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077175">
      <w:marLeft w:val="0"/>
      <w:marRight w:val="0"/>
      <w:marTop w:val="0"/>
      <w:marBottom w:val="0"/>
      <w:divBdr>
        <w:top w:val="none" w:sz="0" w:space="0" w:color="auto"/>
        <w:left w:val="none" w:sz="0" w:space="0" w:color="auto"/>
        <w:bottom w:val="none" w:sz="0" w:space="0" w:color="auto"/>
        <w:right w:val="none" w:sz="0" w:space="0" w:color="auto"/>
      </w:divBdr>
      <w:divsChild>
        <w:div w:id="2091077177">
          <w:marLeft w:val="0"/>
          <w:marRight w:val="0"/>
          <w:marTop w:val="0"/>
          <w:marBottom w:val="0"/>
          <w:divBdr>
            <w:top w:val="none" w:sz="0" w:space="0" w:color="auto"/>
            <w:left w:val="none" w:sz="0" w:space="0" w:color="auto"/>
            <w:bottom w:val="none" w:sz="0" w:space="0" w:color="auto"/>
            <w:right w:val="none" w:sz="0" w:space="0" w:color="auto"/>
          </w:divBdr>
          <w:divsChild>
            <w:div w:id="2091077195">
              <w:marLeft w:val="0"/>
              <w:marRight w:val="0"/>
              <w:marTop w:val="0"/>
              <w:marBottom w:val="0"/>
              <w:divBdr>
                <w:top w:val="none" w:sz="0" w:space="0" w:color="auto"/>
                <w:left w:val="none" w:sz="0" w:space="0" w:color="auto"/>
                <w:bottom w:val="none" w:sz="0" w:space="0" w:color="auto"/>
                <w:right w:val="none" w:sz="0" w:space="0" w:color="auto"/>
              </w:divBdr>
              <w:divsChild>
                <w:div w:id="2091077192">
                  <w:marLeft w:val="0"/>
                  <w:marRight w:val="0"/>
                  <w:marTop w:val="0"/>
                  <w:marBottom w:val="0"/>
                  <w:divBdr>
                    <w:top w:val="none" w:sz="0" w:space="0" w:color="auto"/>
                    <w:left w:val="none" w:sz="0" w:space="0" w:color="auto"/>
                    <w:bottom w:val="none" w:sz="0" w:space="0" w:color="auto"/>
                    <w:right w:val="none" w:sz="0" w:space="0" w:color="auto"/>
                  </w:divBdr>
                  <w:divsChild>
                    <w:div w:id="209107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077184">
          <w:marLeft w:val="0"/>
          <w:marRight w:val="0"/>
          <w:marTop w:val="0"/>
          <w:marBottom w:val="0"/>
          <w:divBdr>
            <w:top w:val="none" w:sz="0" w:space="0" w:color="auto"/>
            <w:left w:val="none" w:sz="0" w:space="0" w:color="auto"/>
            <w:bottom w:val="none" w:sz="0" w:space="0" w:color="auto"/>
            <w:right w:val="none" w:sz="0" w:space="0" w:color="auto"/>
          </w:divBdr>
        </w:div>
        <w:div w:id="2091077191">
          <w:marLeft w:val="0"/>
          <w:marRight w:val="0"/>
          <w:marTop w:val="0"/>
          <w:marBottom w:val="0"/>
          <w:divBdr>
            <w:top w:val="none" w:sz="0" w:space="0" w:color="auto"/>
            <w:left w:val="none" w:sz="0" w:space="0" w:color="auto"/>
            <w:bottom w:val="none" w:sz="0" w:space="0" w:color="auto"/>
            <w:right w:val="none" w:sz="0" w:space="0" w:color="auto"/>
          </w:divBdr>
          <w:divsChild>
            <w:div w:id="2091077182">
              <w:marLeft w:val="0"/>
              <w:marRight w:val="0"/>
              <w:marTop w:val="0"/>
              <w:marBottom w:val="0"/>
              <w:divBdr>
                <w:top w:val="none" w:sz="0" w:space="0" w:color="auto"/>
                <w:left w:val="none" w:sz="0" w:space="0" w:color="auto"/>
                <w:bottom w:val="none" w:sz="0" w:space="0" w:color="auto"/>
                <w:right w:val="none" w:sz="0" w:space="0" w:color="auto"/>
              </w:divBdr>
              <w:divsChild>
                <w:div w:id="2091077180">
                  <w:marLeft w:val="0"/>
                  <w:marRight w:val="0"/>
                  <w:marTop w:val="0"/>
                  <w:marBottom w:val="0"/>
                  <w:divBdr>
                    <w:top w:val="none" w:sz="0" w:space="0" w:color="auto"/>
                    <w:left w:val="none" w:sz="0" w:space="0" w:color="auto"/>
                    <w:bottom w:val="none" w:sz="0" w:space="0" w:color="auto"/>
                    <w:right w:val="none" w:sz="0" w:space="0" w:color="auto"/>
                  </w:divBdr>
                </w:div>
                <w:div w:id="2091077203">
                  <w:marLeft w:val="0"/>
                  <w:marRight w:val="0"/>
                  <w:marTop w:val="0"/>
                  <w:marBottom w:val="0"/>
                  <w:divBdr>
                    <w:top w:val="none" w:sz="0" w:space="0" w:color="auto"/>
                    <w:left w:val="none" w:sz="0" w:space="0" w:color="auto"/>
                    <w:bottom w:val="none" w:sz="0" w:space="0" w:color="auto"/>
                    <w:right w:val="none" w:sz="0" w:space="0" w:color="auto"/>
                  </w:divBdr>
                  <w:divsChild>
                    <w:div w:id="209107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077185">
      <w:marLeft w:val="0"/>
      <w:marRight w:val="0"/>
      <w:marTop w:val="0"/>
      <w:marBottom w:val="0"/>
      <w:divBdr>
        <w:top w:val="none" w:sz="0" w:space="0" w:color="auto"/>
        <w:left w:val="none" w:sz="0" w:space="0" w:color="auto"/>
        <w:bottom w:val="none" w:sz="0" w:space="0" w:color="auto"/>
        <w:right w:val="none" w:sz="0" w:space="0" w:color="auto"/>
      </w:divBdr>
    </w:div>
    <w:div w:id="2091077186">
      <w:marLeft w:val="0"/>
      <w:marRight w:val="0"/>
      <w:marTop w:val="0"/>
      <w:marBottom w:val="0"/>
      <w:divBdr>
        <w:top w:val="none" w:sz="0" w:space="0" w:color="auto"/>
        <w:left w:val="none" w:sz="0" w:space="0" w:color="auto"/>
        <w:bottom w:val="none" w:sz="0" w:space="0" w:color="auto"/>
        <w:right w:val="none" w:sz="0" w:space="0" w:color="auto"/>
      </w:divBdr>
    </w:div>
    <w:div w:id="2091077187">
      <w:marLeft w:val="0"/>
      <w:marRight w:val="0"/>
      <w:marTop w:val="0"/>
      <w:marBottom w:val="0"/>
      <w:divBdr>
        <w:top w:val="none" w:sz="0" w:space="0" w:color="auto"/>
        <w:left w:val="none" w:sz="0" w:space="0" w:color="auto"/>
        <w:bottom w:val="none" w:sz="0" w:space="0" w:color="auto"/>
        <w:right w:val="none" w:sz="0" w:space="0" w:color="auto"/>
      </w:divBdr>
    </w:div>
    <w:div w:id="2091077188">
      <w:marLeft w:val="0"/>
      <w:marRight w:val="0"/>
      <w:marTop w:val="0"/>
      <w:marBottom w:val="0"/>
      <w:divBdr>
        <w:top w:val="none" w:sz="0" w:space="0" w:color="auto"/>
        <w:left w:val="none" w:sz="0" w:space="0" w:color="auto"/>
        <w:bottom w:val="none" w:sz="0" w:space="0" w:color="auto"/>
        <w:right w:val="none" w:sz="0" w:space="0" w:color="auto"/>
      </w:divBdr>
    </w:div>
    <w:div w:id="2091077189">
      <w:marLeft w:val="0"/>
      <w:marRight w:val="0"/>
      <w:marTop w:val="0"/>
      <w:marBottom w:val="0"/>
      <w:divBdr>
        <w:top w:val="none" w:sz="0" w:space="0" w:color="auto"/>
        <w:left w:val="none" w:sz="0" w:space="0" w:color="auto"/>
        <w:bottom w:val="none" w:sz="0" w:space="0" w:color="auto"/>
        <w:right w:val="none" w:sz="0" w:space="0" w:color="auto"/>
      </w:divBdr>
    </w:div>
    <w:div w:id="2091077190">
      <w:marLeft w:val="0"/>
      <w:marRight w:val="0"/>
      <w:marTop w:val="0"/>
      <w:marBottom w:val="0"/>
      <w:divBdr>
        <w:top w:val="none" w:sz="0" w:space="0" w:color="auto"/>
        <w:left w:val="none" w:sz="0" w:space="0" w:color="auto"/>
        <w:bottom w:val="none" w:sz="0" w:space="0" w:color="auto"/>
        <w:right w:val="none" w:sz="0" w:space="0" w:color="auto"/>
      </w:divBdr>
    </w:div>
    <w:div w:id="2091077193">
      <w:marLeft w:val="0"/>
      <w:marRight w:val="0"/>
      <w:marTop w:val="0"/>
      <w:marBottom w:val="0"/>
      <w:divBdr>
        <w:top w:val="none" w:sz="0" w:space="0" w:color="auto"/>
        <w:left w:val="none" w:sz="0" w:space="0" w:color="auto"/>
        <w:bottom w:val="none" w:sz="0" w:space="0" w:color="auto"/>
        <w:right w:val="none" w:sz="0" w:space="0" w:color="auto"/>
      </w:divBdr>
      <w:divsChild>
        <w:div w:id="2091077179">
          <w:marLeft w:val="0"/>
          <w:marRight w:val="0"/>
          <w:marTop w:val="0"/>
          <w:marBottom w:val="0"/>
          <w:divBdr>
            <w:top w:val="none" w:sz="0" w:space="0" w:color="auto"/>
            <w:left w:val="none" w:sz="0" w:space="0" w:color="auto"/>
            <w:bottom w:val="none" w:sz="0" w:space="0" w:color="auto"/>
            <w:right w:val="none" w:sz="0" w:space="0" w:color="auto"/>
          </w:divBdr>
          <w:divsChild>
            <w:div w:id="2091077183">
              <w:marLeft w:val="0"/>
              <w:marRight w:val="0"/>
              <w:marTop w:val="0"/>
              <w:marBottom w:val="0"/>
              <w:divBdr>
                <w:top w:val="none" w:sz="0" w:space="0" w:color="auto"/>
                <w:left w:val="none" w:sz="0" w:space="0" w:color="auto"/>
                <w:bottom w:val="none" w:sz="0" w:space="0" w:color="auto"/>
                <w:right w:val="none" w:sz="0" w:space="0" w:color="auto"/>
              </w:divBdr>
              <w:divsChild>
                <w:div w:id="2091077198">
                  <w:marLeft w:val="0"/>
                  <w:marRight w:val="0"/>
                  <w:marTop w:val="0"/>
                  <w:marBottom w:val="0"/>
                  <w:divBdr>
                    <w:top w:val="none" w:sz="0" w:space="0" w:color="auto"/>
                    <w:left w:val="none" w:sz="0" w:space="0" w:color="auto"/>
                    <w:bottom w:val="none" w:sz="0" w:space="0" w:color="auto"/>
                    <w:right w:val="none" w:sz="0" w:space="0" w:color="auto"/>
                  </w:divBdr>
                  <w:divsChild>
                    <w:div w:id="209107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077196">
          <w:marLeft w:val="0"/>
          <w:marRight w:val="0"/>
          <w:marTop w:val="0"/>
          <w:marBottom w:val="0"/>
          <w:divBdr>
            <w:top w:val="none" w:sz="0" w:space="0" w:color="auto"/>
            <w:left w:val="none" w:sz="0" w:space="0" w:color="auto"/>
            <w:bottom w:val="none" w:sz="0" w:space="0" w:color="auto"/>
            <w:right w:val="none" w:sz="0" w:space="0" w:color="auto"/>
          </w:divBdr>
          <w:divsChild>
            <w:div w:id="2091077194">
              <w:marLeft w:val="0"/>
              <w:marRight w:val="0"/>
              <w:marTop w:val="0"/>
              <w:marBottom w:val="0"/>
              <w:divBdr>
                <w:top w:val="none" w:sz="0" w:space="0" w:color="auto"/>
                <w:left w:val="none" w:sz="0" w:space="0" w:color="auto"/>
                <w:bottom w:val="none" w:sz="0" w:space="0" w:color="auto"/>
                <w:right w:val="none" w:sz="0" w:space="0" w:color="auto"/>
              </w:divBdr>
              <w:divsChild>
                <w:div w:id="2091077178">
                  <w:marLeft w:val="0"/>
                  <w:marRight w:val="0"/>
                  <w:marTop w:val="0"/>
                  <w:marBottom w:val="0"/>
                  <w:divBdr>
                    <w:top w:val="none" w:sz="0" w:space="0" w:color="auto"/>
                    <w:left w:val="none" w:sz="0" w:space="0" w:color="auto"/>
                    <w:bottom w:val="none" w:sz="0" w:space="0" w:color="auto"/>
                    <w:right w:val="none" w:sz="0" w:space="0" w:color="auto"/>
                  </w:divBdr>
                </w:div>
                <w:div w:id="2091077199">
                  <w:marLeft w:val="0"/>
                  <w:marRight w:val="0"/>
                  <w:marTop w:val="0"/>
                  <w:marBottom w:val="0"/>
                  <w:divBdr>
                    <w:top w:val="none" w:sz="0" w:space="0" w:color="auto"/>
                    <w:left w:val="none" w:sz="0" w:space="0" w:color="auto"/>
                    <w:bottom w:val="none" w:sz="0" w:space="0" w:color="auto"/>
                    <w:right w:val="none" w:sz="0" w:space="0" w:color="auto"/>
                  </w:divBdr>
                  <w:divsChild>
                    <w:div w:id="20910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077197">
              <w:marLeft w:val="0"/>
              <w:marRight w:val="0"/>
              <w:marTop w:val="0"/>
              <w:marBottom w:val="0"/>
              <w:divBdr>
                <w:top w:val="none" w:sz="0" w:space="0" w:color="auto"/>
                <w:left w:val="none" w:sz="0" w:space="0" w:color="auto"/>
                <w:bottom w:val="none" w:sz="0" w:space="0" w:color="auto"/>
                <w:right w:val="none" w:sz="0" w:space="0" w:color="auto"/>
              </w:divBdr>
              <w:divsChild>
                <w:div w:id="2091077201">
                  <w:marLeft w:val="-300"/>
                  <w:marRight w:val="0"/>
                  <w:marTop w:val="60"/>
                  <w:marBottom w:val="0"/>
                  <w:divBdr>
                    <w:top w:val="none" w:sz="0" w:space="0" w:color="auto"/>
                    <w:left w:val="none" w:sz="0" w:space="0" w:color="auto"/>
                    <w:bottom w:val="none" w:sz="0" w:space="0" w:color="auto"/>
                    <w:right w:val="none" w:sz="0" w:space="0" w:color="auto"/>
                  </w:divBdr>
                </w:div>
              </w:divsChild>
            </w:div>
          </w:divsChild>
        </w:div>
        <w:div w:id="2091077202">
          <w:marLeft w:val="0"/>
          <w:marRight w:val="0"/>
          <w:marTop w:val="0"/>
          <w:marBottom w:val="0"/>
          <w:divBdr>
            <w:top w:val="none" w:sz="0" w:space="0" w:color="auto"/>
            <w:left w:val="none" w:sz="0" w:space="0" w:color="auto"/>
            <w:bottom w:val="none" w:sz="0" w:space="0" w:color="auto"/>
            <w:right w:val="none" w:sz="0" w:space="0" w:color="auto"/>
          </w:divBdr>
        </w:div>
      </w:divsChild>
    </w:div>
    <w:div w:id="2091077206">
      <w:marLeft w:val="0"/>
      <w:marRight w:val="0"/>
      <w:marTop w:val="0"/>
      <w:marBottom w:val="0"/>
      <w:divBdr>
        <w:top w:val="none" w:sz="0" w:space="0" w:color="auto"/>
        <w:left w:val="none" w:sz="0" w:space="0" w:color="auto"/>
        <w:bottom w:val="none" w:sz="0" w:space="0" w:color="auto"/>
        <w:right w:val="none" w:sz="0" w:space="0" w:color="auto"/>
      </w:divBdr>
      <w:divsChild>
        <w:div w:id="2091077174">
          <w:marLeft w:val="0"/>
          <w:marRight w:val="0"/>
          <w:marTop w:val="0"/>
          <w:marBottom w:val="0"/>
          <w:divBdr>
            <w:top w:val="none" w:sz="0" w:space="0" w:color="auto"/>
            <w:left w:val="none" w:sz="0" w:space="0" w:color="auto"/>
            <w:bottom w:val="none" w:sz="0" w:space="0" w:color="auto"/>
            <w:right w:val="none" w:sz="0" w:space="0" w:color="auto"/>
          </w:divBdr>
        </w:div>
        <w:div w:id="2091077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ris.de/r3/?docId=BJNR002190897BJNE011300300&amp;docFormat=xsl&amp;oi=W3aeaeY39q&amp;docPart=S&amp;sourceP=%7B%22source%22:%22Link%22%7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penjur.de/u/2130693.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rgaupp.de" TargetMode="External"/><Relationship Id="rId5" Type="http://schemas.openxmlformats.org/officeDocument/2006/relationships/footnotes" Target="footnotes.xml"/><Relationship Id="rId10" Type="http://schemas.openxmlformats.org/officeDocument/2006/relationships/hyperlink" Target="mailto:henn@drgaupp.de" TargetMode="External"/><Relationship Id="rId4" Type="http://schemas.openxmlformats.org/officeDocument/2006/relationships/webSettings" Target="webSettings.xml"/><Relationship Id="rId9" Type="http://schemas.openxmlformats.org/officeDocument/2006/relationships/hyperlink" Target="https://www.juris.de/r3/?docId=BJNR002190897BJNE009901309&amp;docFormat=xsl&amp;oi=W3aeaeY39q&amp;docPart=S&amp;sourceP=%7B%22source%22:%22Link%22%7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3E0BD6D1.dotm</Template>
  <TotalTime>0</TotalTime>
  <Pages>3</Pages>
  <Words>1393</Words>
  <Characters>8782</Characters>
  <Application>Microsoft Office Word</Application>
  <DocSecurity>0</DocSecurity>
  <Lines>73</Lines>
  <Paragraphs>20</Paragraphs>
  <ScaleCrop>false</ScaleCrop>
  <Company/>
  <LinksUpToDate>false</LinksUpToDate>
  <CharactersWithSpaces>10155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Hawkins</dc:creator>
  <cp:keywords/>
  <dc:description/>
  <cp:lastModifiedBy>Administrator</cp:lastModifiedBy>
  <cp:revision>2</cp:revision>
  <dcterms:created xsi:type="dcterms:W3CDTF">2019-02-04T08:25:00Z</dcterms:created>
  <dcterms:modified xsi:type="dcterms:W3CDTF">2019-02-04T08:25:00Z</dcterms:modified>
</cp:coreProperties>
</file>