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E59" w:rsidRPr="00FE7FBC" w:rsidRDefault="00B87E59" w:rsidP="00B87E59">
      <w:pPr>
        <w:tabs>
          <w:tab w:val="center" w:pos="4536"/>
          <w:tab w:val="right" w:pos="9072"/>
        </w:tabs>
        <w:jc w:val="right"/>
        <w:rPr>
          <w:rFonts w:ascii="Arial" w:hAnsi="Arial" w:cs="Arial"/>
          <w:sz w:val="22"/>
          <w:szCs w:val="22"/>
          <w:lang w:eastAsia="en-US"/>
        </w:rPr>
      </w:pPr>
      <w:r w:rsidRPr="00FE7FBC">
        <w:rPr>
          <w:rFonts w:ascii="Arial" w:hAnsi="Arial" w:cs="Arial"/>
          <w:b/>
          <w:bCs/>
          <w:sz w:val="40"/>
          <w:szCs w:val="40"/>
          <w:lang w:eastAsia="en-US"/>
        </w:rPr>
        <w:t>DASV</w:t>
      </w:r>
    </w:p>
    <w:p w:rsidR="00B87E59" w:rsidRPr="00FE7FBC" w:rsidRDefault="00B87E59" w:rsidP="00B87E59">
      <w:pPr>
        <w:jc w:val="right"/>
        <w:rPr>
          <w:rFonts w:ascii="Arial" w:hAnsi="Arial" w:cs="Arial"/>
          <w:sz w:val="20"/>
          <w:szCs w:val="20"/>
          <w:lang w:eastAsia="en-US"/>
        </w:rPr>
      </w:pPr>
      <w:bookmarkStart w:id="0" w:name="2"/>
      <w:bookmarkStart w:id="1" w:name="9"/>
      <w:bookmarkEnd w:id="0"/>
      <w:bookmarkEnd w:id="1"/>
      <w:r w:rsidRPr="00FE7FBC">
        <w:rPr>
          <w:rFonts w:ascii="Arial" w:hAnsi="Arial" w:cs="Arial"/>
          <w:sz w:val="20"/>
          <w:szCs w:val="20"/>
          <w:lang w:eastAsia="en-US"/>
        </w:rPr>
        <w:t>Deutsche Anwalts- und</w:t>
      </w:r>
    </w:p>
    <w:p w:rsidR="00B87E59" w:rsidRPr="00FE7FBC" w:rsidRDefault="00B87E59" w:rsidP="00B87E59">
      <w:pPr>
        <w:jc w:val="right"/>
        <w:rPr>
          <w:rFonts w:ascii="Arial" w:hAnsi="Arial" w:cs="Arial"/>
          <w:sz w:val="20"/>
          <w:szCs w:val="20"/>
          <w:lang w:eastAsia="en-US"/>
        </w:rPr>
      </w:pPr>
      <w:r w:rsidRPr="00FE7FBC">
        <w:rPr>
          <w:rFonts w:ascii="Arial" w:hAnsi="Arial" w:cs="Arial"/>
          <w:sz w:val="20"/>
          <w:szCs w:val="20"/>
          <w:lang w:eastAsia="en-US"/>
        </w:rPr>
        <w:t>Steuerberatervereinigung</w:t>
      </w:r>
    </w:p>
    <w:p w:rsidR="00B87E59" w:rsidRPr="00FE7FBC" w:rsidRDefault="00B87E59" w:rsidP="00B87E59">
      <w:pPr>
        <w:jc w:val="right"/>
        <w:rPr>
          <w:rFonts w:ascii="Arial" w:hAnsi="Arial" w:cs="Arial"/>
          <w:sz w:val="20"/>
          <w:szCs w:val="20"/>
          <w:lang w:eastAsia="en-US"/>
        </w:rPr>
      </w:pPr>
      <w:r w:rsidRPr="00FE7FBC">
        <w:rPr>
          <w:rFonts w:ascii="Arial" w:hAnsi="Arial" w:cs="Arial"/>
          <w:sz w:val="20"/>
          <w:szCs w:val="20"/>
          <w:lang w:eastAsia="en-US"/>
        </w:rPr>
        <w:t>für die mittelständische</w:t>
      </w:r>
    </w:p>
    <w:p w:rsidR="00B87E59" w:rsidRPr="00FE7FBC" w:rsidRDefault="00B87E59" w:rsidP="00B87E59">
      <w:pPr>
        <w:spacing w:line="360" w:lineRule="auto"/>
        <w:jc w:val="right"/>
        <w:rPr>
          <w:rFonts w:ascii="Arial" w:hAnsi="Arial" w:cs="Arial"/>
          <w:sz w:val="20"/>
          <w:szCs w:val="20"/>
          <w:lang w:eastAsia="en-US"/>
        </w:rPr>
      </w:pPr>
      <w:r w:rsidRPr="00FE7FBC">
        <w:rPr>
          <w:rFonts w:ascii="Arial" w:hAnsi="Arial" w:cs="Arial"/>
          <w:sz w:val="20"/>
          <w:szCs w:val="20"/>
          <w:lang w:eastAsia="en-US"/>
        </w:rPr>
        <w:t>Wirtschaft e. V.</w:t>
      </w:r>
    </w:p>
    <w:p w:rsidR="00B87E59" w:rsidRPr="00FE7FBC" w:rsidRDefault="00B87E59" w:rsidP="00B87E59">
      <w:pPr>
        <w:jc w:val="center"/>
        <w:rPr>
          <w:rFonts w:ascii="Arial" w:eastAsia="Times New Roman" w:hAnsi="Arial" w:cs="Arial"/>
          <w:b/>
          <w:bCs/>
          <w:sz w:val="20"/>
          <w:szCs w:val="20"/>
        </w:rPr>
      </w:pPr>
    </w:p>
    <w:p w:rsidR="00B87E59" w:rsidRPr="00FE7FBC" w:rsidRDefault="00B87E59" w:rsidP="00B87E59">
      <w:pPr>
        <w:jc w:val="center"/>
        <w:rPr>
          <w:rFonts w:ascii="Arial" w:eastAsia="Times New Roman" w:hAnsi="Arial" w:cs="Arial"/>
          <w:b/>
          <w:bCs/>
          <w:sz w:val="20"/>
          <w:szCs w:val="20"/>
        </w:rPr>
      </w:pPr>
      <w:r w:rsidRPr="00FE7FBC">
        <w:rPr>
          <w:rFonts w:ascii="Arial" w:eastAsia="Times New Roman" w:hAnsi="Arial" w:cs="Arial"/>
          <w:b/>
          <w:bCs/>
          <w:sz w:val="20"/>
          <w:szCs w:val="20"/>
        </w:rPr>
        <w:t>10 Urteile, die Ihre Leser interessieren könnten</w:t>
      </w:r>
    </w:p>
    <w:p w:rsidR="00B87E59" w:rsidRPr="00FE7FBC" w:rsidRDefault="00B87E59" w:rsidP="00B87E59">
      <w:pPr>
        <w:jc w:val="both"/>
        <w:rPr>
          <w:rFonts w:ascii="Arial" w:eastAsia="Times New Roman" w:hAnsi="Arial" w:cs="Arial"/>
          <w:bCs/>
          <w:sz w:val="20"/>
          <w:szCs w:val="20"/>
        </w:rPr>
      </w:pPr>
    </w:p>
    <w:p w:rsidR="00B87E59" w:rsidRPr="00FE7FBC" w:rsidRDefault="00B87E59" w:rsidP="00B87E59">
      <w:pPr>
        <w:jc w:val="center"/>
        <w:rPr>
          <w:rFonts w:ascii="Arial" w:eastAsia="Times New Roman" w:hAnsi="Arial" w:cs="Arial"/>
          <w:sz w:val="20"/>
          <w:szCs w:val="20"/>
        </w:rPr>
      </w:pPr>
      <w:r w:rsidRPr="00FE7FBC">
        <w:rPr>
          <w:rFonts w:ascii="Arial" w:eastAsia="Times New Roman" w:hAnsi="Arial" w:cs="Arial"/>
          <w:sz w:val="20"/>
          <w:szCs w:val="20"/>
        </w:rPr>
        <w:t>zusammengestellt von Rechtsanwalt/Fachanwalt für Arbeitsrecht u. Fachanwalt für Erbrecht</w:t>
      </w:r>
    </w:p>
    <w:p w:rsidR="00B87E59" w:rsidRPr="00FE7FBC" w:rsidRDefault="00B87E59" w:rsidP="00B87E59">
      <w:pPr>
        <w:ind w:right="540"/>
        <w:jc w:val="center"/>
        <w:rPr>
          <w:rFonts w:ascii="Arial" w:eastAsia="Times New Roman" w:hAnsi="Arial" w:cs="Arial"/>
          <w:bCs/>
          <w:sz w:val="20"/>
          <w:szCs w:val="20"/>
        </w:rPr>
      </w:pPr>
      <w:r w:rsidRPr="00FE7FBC">
        <w:rPr>
          <w:rFonts w:ascii="Arial" w:eastAsia="Times New Roman" w:hAnsi="Arial" w:cs="Arial"/>
          <w:bCs/>
          <w:sz w:val="20"/>
          <w:szCs w:val="20"/>
        </w:rPr>
        <w:t>Michael Henn, Stuttgart</w:t>
      </w:r>
    </w:p>
    <w:p w:rsidR="00B87E59" w:rsidRDefault="00B87E59" w:rsidP="00B87E59">
      <w:pPr>
        <w:rPr>
          <w:rFonts w:ascii="Arial" w:hAnsi="Arial" w:cs="Arial"/>
          <w:sz w:val="20"/>
          <w:szCs w:val="20"/>
          <w:lang w:eastAsia="en-US"/>
        </w:rPr>
      </w:pPr>
    </w:p>
    <w:p w:rsidR="00B87E59" w:rsidRPr="00B87E59" w:rsidRDefault="00B87E59" w:rsidP="00B87E59">
      <w:pPr>
        <w:jc w:val="center"/>
        <w:rPr>
          <w:rFonts w:ascii="Arial" w:hAnsi="Arial" w:cs="Arial"/>
          <w:b/>
          <w:sz w:val="20"/>
          <w:szCs w:val="20"/>
          <w:lang w:eastAsia="en-US"/>
        </w:rPr>
      </w:pPr>
      <w:r w:rsidRPr="00B87E59">
        <w:rPr>
          <w:rFonts w:ascii="Arial" w:hAnsi="Arial" w:cs="Arial"/>
          <w:b/>
          <w:sz w:val="20"/>
          <w:szCs w:val="20"/>
          <w:lang w:eastAsia="en-US"/>
        </w:rPr>
        <w:t>I.</w:t>
      </w:r>
    </w:p>
    <w:p w:rsidR="00B87E59" w:rsidRDefault="00B87E59" w:rsidP="00B87E59">
      <w:pPr>
        <w:jc w:val="center"/>
        <w:rPr>
          <w:rFonts w:ascii="Arial" w:hAnsi="Arial" w:cs="Arial"/>
          <w:b/>
          <w:bCs/>
          <w:sz w:val="20"/>
          <w:szCs w:val="20"/>
          <w:lang w:eastAsia="en-US"/>
        </w:rPr>
      </w:pPr>
      <w:r w:rsidRPr="00B87E59">
        <w:rPr>
          <w:rFonts w:ascii="Arial" w:hAnsi="Arial" w:cs="Arial"/>
          <w:b/>
          <w:bCs/>
          <w:sz w:val="20"/>
          <w:szCs w:val="20"/>
          <w:lang w:eastAsia="en-US"/>
        </w:rPr>
        <w:t>Information über Bewerber für Verwalteramt</w:t>
      </w:r>
    </w:p>
    <w:p w:rsidR="00B87E59" w:rsidRPr="00B87E59" w:rsidRDefault="00B87E59" w:rsidP="00B87E59">
      <w:pPr>
        <w:jc w:val="center"/>
        <w:rPr>
          <w:rFonts w:ascii="Arial" w:hAnsi="Arial" w:cs="Arial"/>
          <w:bCs/>
          <w:sz w:val="20"/>
          <w:szCs w:val="20"/>
          <w:lang w:eastAsia="en-US"/>
        </w:rPr>
      </w:pPr>
      <w:r>
        <w:rPr>
          <w:rFonts w:ascii="Arial" w:hAnsi="Arial" w:cs="Arial"/>
          <w:bCs/>
          <w:sz w:val="20"/>
          <w:szCs w:val="20"/>
          <w:lang w:eastAsia="en-US"/>
        </w:rPr>
        <w:t xml:space="preserve">BGH, </w:t>
      </w:r>
      <w:r w:rsidRPr="00B87E59">
        <w:rPr>
          <w:rFonts w:ascii="Arial" w:hAnsi="Arial" w:cs="Arial"/>
          <w:bCs/>
          <w:sz w:val="20"/>
          <w:szCs w:val="20"/>
          <w:lang w:eastAsia="en-US"/>
        </w:rPr>
        <w:t>Urteil vom 24.01.2020, Az</w:t>
      </w:r>
      <w:r>
        <w:rPr>
          <w:rFonts w:ascii="Arial" w:hAnsi="Arial" w:cs="Arial"/>
          <w:bCs/>
          <w:sz w:val="20"/>
          <w:szCs w:val="20"/>
          <w:lang w:eastAsia="en-US"/>
        </w:rPr>
        <w:t>.</w:t>
      </w:r>
      <w:r w:rsidRPr="00B87E59">
        <w:rPr>
          <w:rFonts w:ascii="Arial" w:hAnsi="Arial" w:cs="Arial"/>
          <w:bCs/>
          <w:sz w:val="20"/>
          <w:szCs w:val="20"/>
          <w:lang w:eastAsia="en-US"/>
        </w:rPr>
        <w:t xml:space="preserve"> V ZR 110/19</w:t>
      </w:r>
    </w:p>
    <w:p w:rsidR="00B87E59" w:rsidRPr="00FE7FBC" w:rsidRDefault="00B87E59" w:rsidP="00B87E59">
      <w:pPr>
        <w:rPr>
          <w:rFonts w:ascii="Arial" w:hAnsi="Arial" w:cs="Arial"/>
          <w:sz w:val="20"/>
          <w:szCs w:val="20"/>
          <w:lang w:eastAsia="en-US"/>
        </w:rPr>
      </w:pPr>
    </w:p>
    <w:p w:rsidR="007337E7" w:rsidRPr="00B87E59" w:rsidRDefault="007337E7" w:rsidP="00B87E59">
      <w:pPr>
        <w:jc w:val="both"/>
        <w:rPr>
          <w:sz w:val="22"/>
        </w:rPr>
      </w:pPr>
      <w:r w:rsidRPr="00B87E59">
        <w:rPr>
          <w:rFonts w:ascii="Arial" w:hAnsi="Arial" w:cs="Arial"/>
          <w:sz w:val="20"/>
          <w:szCs w:val="21"/>
        </w:rPr>
        <w:t>Bei der Neubestellung eines Verwalters ist es regelmäßig geboten, den Wohnungseigentümern die Angebote der Bewerber oder jedenfalls deren Namen und die Eckdaten ihrer Angebote grundsätzlich innerhalb der Einladungsfrist des § 24 Abs. 4 Satz 2 WEG zukommen zu lassen.</w:t>
      </w:r>
    </w:p>
    <w:p w:rsidR="007337E7" w:rsidRPr="00B87E59" w:rsidRDefault="007337E7">
      <w:pPr>
        <w:rPr>
          <w:rFonts w:ascii="Arial" w:hAnsi="Arial" w:cs="Arial"/>
          <w:sz w:val="20"/>
        </w:rPr>
      </w:pPr>
    </w:p>
    <w:p w:rsidR="007337E7" w:rsidRDefault="00B87E59" w:rsidP="00B87E59">
      <w:pPr>
        <w:jc w:val="center"/>
        <w:rPr>
          <w:rFonts w:ascii="Arial" w:hAnsi="Arial" w:cs="Arial"/>
          <w:b/>
          <w:sz w:val="20"/>
        </w:rPr>
      </w:pPr>
      <w:r w:rsidRPr="00B87E59">
        <w:rPr>
          <w:rFonts w:ascii="Arial" w:hAnsi="Arial" w:cs="Arial"/>
          <w:b/>
          <w:sz w:val="20"/>
        </w:rPr>
        <w:t>II.</w:t>
      </w:r>
    </w:p>
    <w:p w:rsidR="00B87E59" w:rsidRPr="00B87E59" w:rsidRDefault="00B87E59" w:rsidP="00B87E59">
      <w:pPr>
        <w:jc w:val="center"/>
        <w:rPr>
          <w:rFonts w:ascii="Arial" w:hAnsi="Arial" w:cs="Arial"/>
          <w:b/>
          <w:bCs/>
          <w:sz w:val="20"/>
        </w:rPr>
      </w:pPr>
      <w:r w:rsidRPr="00B87E59">
        <w:rPr>
          <w:rFonts w:ascii="Arial" w:hAnsi="Arial" w:cs="Arial"/>
          <w:b/>
          <w:bCs/>
          <w:sz w:val="20"/>
        </w:rPr>
        <w:t>Information des Käufers über Gebäudeversicherung</w:t>
      </w:r>
    </w:p>
    <w:p w:rsidR="00B87E59" w:rsidRPr="00B87E59" w:rsidRDefault="00B87E59" w:rsidP="00B87E59">
      <w:pPr>
        <w:jc w:val="center"/>
        <w:rPr>
          <w:rFonts w:ascii="Arial" w:hAnsi="Arial" w:cs="Arial"/>
          <w:sz w:val="20"/>
        </w:rPr>
      </w:pPr>
      <w:r>
        <w:rPr>
          <w:rFonts w:ascii="Arial" w:hAnsi="Arial" w:cs="Arial"/>
          <w:sz w:val="20"/>
        </w:rPr>
        <w:t xml:space="preserve">BGH, </w:t>
      </w:r>
      <w:r w:rsidRPr="00B87E59">
        <w:rPr>
          <w:rFonts w:ascii="Arial" w:hAnsi="Arial" w:cs="Arial"/>
          <w:sz w:val="20"/>
        </w:rPr>
        <w:t>Urteil vom 20.03.2020, Az</w:t>
      </w:r>
      <w:r>
        <w:rPr>
          <w:rFonts w:ascii="Arial" w:hAnsi="Arial" w:cs="Arial"/>
          <w:sz w:val="20"/>
        </w:rPr>
        <w:t>.</w:t>
      </w:r>
      <w:r w:rsidRPr="00B87E59">
        <w:rPr>
          <w:rFonts w:ascii="Arial" w:hAnsi="Arial" w:cs="Arial"/>
          <w:sz w:val="20"/>
        </w:rPr>
        <w:t xml:space="preserve"> V ZR 61/19</w:t>
      </w:r>
    </w:p>
    <w:p w:rsidR="007337E7" w:rsidRPr="00B87E59" w:rsidRDefault="007337E7">
      <w:pPr>
        <w:rPr>
          <w:rFonts w:ascii="Arial" w:hAnsi="Arial" w:cs="Arial"/>
          <w:sz w:val="20"/>
        </w:rPr>
      </w:pPr>
    </w:p>
    <w:p w:rsidR="00B87E59" w:rsidRPr="00B87E59" w:rsidRDefault="00B87E59" w:rsidP="00B87E59">
      <w:pPr>
        <w:jc w:val="both"/>
        <w:rPr>
          <w:rFonts w:ascii="Arial" w:hAnsi="Arial" w:cs="Arial"/>
          <w:sz w:val="20"/>
          <w:szCs w:val="21"/>
        </w:rPr>
      </w:pPr>
      <w:r w:rsidRPr="00B87E59">
        <w:rPr>
          <w:rFonts w:ascii="Arial" w:hAnsi="Arial" w:cs="Arial"/>
          <w:sz w:val="20"/>
          <w:szCs w:val="21"/>
        </w:rPr>
        <w:t xml:space="preserve">a) </w:t>
      </w:r>
      <w:r w:rsidR="007337E7" w:rsidRPr="00B87E59">
        <w:rPr>
          <w:rFonts w:ascii="Arial" w:hAnsi="Arial" w:cs="Arial"/>
          <w:sz w:val="20"/>
          <w:szCs w:val="21"/>
        </w:rPr>
        <w:t>Der Verkäufer eines bebauten Grundstücks muss den Käufer grundsätzlich nicht ungefragt darüber unterrichten, dass im Zeitpunkt des Vertragsschlusses keine Gebäudeversicherung besteht; ebenso</w:t>
      </w:r>
      <w:r>
        <w:rPr>
          <w:rFonts w:ascii="Arial" w:hAnsi="Arial" w:cs="Arial"/>
          <w:sz w:val="20"/>
          <w:szCs w:val="21"/>
        </w:rPr>
        <w:t xml:space="preserve"> </w:t>
      </w:r>
      <w:r w:rsidR="007337E7" w:rsidRPr="00B87E59">
        <w:rPr>
          <w:rFonts w:ascii="Arial" w:hAnsi="Arial" w:cs="Arial"/>
          <w:sz w:val="20"/>
          <w:szCs w:val="21"/>
        </w:rPr>
        <w:t>wenig muss er ihn über eine nach Vertragsschluss erfolgte Beendigung einer solchen Versicherung informieren. Dies gilt auch dann, wenn eine Gebäudeversicherung nach der Verkehrsanschauung üblich ist.</w:t>
      </w:r>
    </w:p>
    <w:p w:rsidR="007337E7" w:rsidRDefault="007337E7" w:rsidP="00B87E59">
      <w:pPr>
        <w:jc w:val="both"/>
        <w:rPr>
          <w:rFonts w:ascii="Arial" w:hAnsi="Arial" w:cs="Arial"/>
          <w:sz w:val="20"/>
          <w:szCs w:val="21"/>
        </w:rPr>
      </w:pPr>
      <w:r w:rsidRPr="00B87E59">
        <w:rPr>
          <w:rFonts w:ascii="Arial" w:hAnsi="Arial" w:cs="Arial"/>
          <w:sz w:val="20"/>
          <w:szCs w:val="21"/>
        </w:rPr>
        <w:t>b) Erklärt der Verkäufer dagegen vor oder bei Abschluss des Kaufvertrages, dass eine Gebäudeversicherung besteht und wird das Versicherungsverhältnis vor Umschreibung des Eigentums beendet, trifft ihn in aller Regel die vertragliche Nebenpflicht, den Käufer hierüber unverzüglich zu unterrichten.</w:t>
      </w:r>
    </w:p>
    <w:p w:rsidR="00B87E59" w:rsidRDefault="00B87E59" w:rsidP="00B87E59">
      <w:pPr>
        <w:jc w:val="both"/>
        <w:rPr>
          <w:rFonts w:ascii="Arial" w:hAnsi="Arial" w:cs="Arial"/>
          <w:sz w:val="20"/>
          <w:szCs w:val="21"/>
        </w:rPr>
      </w:pPr>
    </w:p>
    <w:p w:rsidR="00B87E59" w:rsidRDefault="00B87E59" w:rsidP="00B87E59">
      <w:pPr>
        <w:jc w:val="center"/>
        <w:rPr>
          <w:rFonts w:ascii="Arial" w:hAnsi="Arial" w:cs="Arial"/>
          <w:b/>
          <w:sz w:val="20"/>
          <w:szCs w:val="21"/>
        </w:rPr>
      </w:pPr>
      <w:r w:rsidRPr="00B87E59">
        <w:rPr>
          <w:rFonts w:ascii="Arial" w:hAnsi="Arial" w:cs="Arial"/>
          <w:b/>
          <w:sz w:val="20"/>
          <w:szCs w:val="21"/>
        </w:rPr>
        <w:t>III.</w:t>
      </w:r>
    </w:p>
    <w:p w:rsidR="00AB4F20" w:rsidRDefault="00AB4F20" w:rsidP="00B87E59">
      <w:pPr>
        <w:jc w:val="center"/>
        <w:rPr>
          <w:rFonts w:ascii="Arial" w:hAnsi="Arial" w:cs="Arial"/>
          <w:b/>
          <w:sz w:val="20"/>
          <w:szCs w:val="21"/>
        </w:rPr>
      </w:pPr>
      <w:r>
        <w:rPr>
          <w:rFonts w:ascii="Arial" w:hAnsi="Arial" w:cs="Arial"/>
          <w:b/>
          <w:sz w:val="20"/>
          <w:szCs w:val="21"/>
        </w:rPr>
        <w:t>Betriebskostenumlage im Gewerbemietvertrag</w:t>
      </w:r>
    </w:p>
    <w:p w:rsidR="00B87E59" w:rsidRPr="00B87E59" w:rsidRDefault="00B87E59" w:rsidP="00B87E59">
      <w:pPr>
        <w:jc w:val="center"/>
        <w:rPr>
          <w:rFonts w:ascii="Arial" w:hAnsi="Arial" w:cs="Arial"/>
          <w:sz w:val="20"/>
          <w:szCs w:val="21"/>
        </w:rPr>
      </w:pPr>
      <w:r w:rsidRPr="00B87E59">
        <w:rPr>
          <w:rFonts w:ascii="Arial" w:hAnsi="Arial" w:cs="Arial"/>
          <w:bCs/>
          <w:sz w:val="20"/>
          <w:szCs w:val="21"/>
        </w:rPr>
        <w:t>BGH, Urteil vom 8. April 2020, Az. XII ZR 120/18</w:t>
      </w:r>
    </w:p>
    <w:p w:rsidR="00B87E59" w:rsidRPr="00B87E59" w:rsidRDefault="00B87E59" w:rsidP="00B87E59">
      <w:pPr>
        <w:jc w:val="both"/>
        <w:rPr>
          <w:rFonts w:ascii="Arial" w:hAnsi="Arial" w:cs="Arial"/>
          <w:sz w:val="20"/>
          <w:szCs w:val="21"/>
        </w:rPr>
      </w:pPr>
    </w:p>
    <w:p w:rsidR="002C7F74" w:rsidRPr="00B87E59" w:rsidRDefault="002C7F74" w:rsidP="00B87E59">
      <w:pPr>
        <w:jc w:val="both"/>
        <w:rPr>
          <w:rFonts w:ascii="Arial" w:hAnsi="Arial" w:cs="Arial"/>
          <w:sz w:val="20"/>
          <w:szCs w:val="20"/>
        </w:rPr>
      </w:pPr>
      <w:r w:rsidRPr="00B87E59">
        <w:rPr>
          <w:rFonts w:ascii="Arial" w:hAnsi="Arial" w:cs="Arial"/>
          <w:sz w:val="20"/>
          <w:szCs w:val="20"/>
        </w:rPr>
        <w:t>Wie jede schuldrechtliche Vereinbarung muss diejenige über eine Betriebskostenumlage bestimmt oder zumindest bestimmbar sein, um wirksam zu sein. Weitergehende Anforderungen an die Transparenz einer individualvertraglichen Betriebskostenvereinbarung bestehen hingegen anders als bei Allgemeinen Geschäftsbedingungen nicht (Abgrenzung zu Senatsurteil vom 2.Mai 2012 -XIIZR88/10 -NJW-RR 2012, 1034).</w:t>
      </w:r>
    </w:p>
    <w:p w:rsidR="002C7F74" w:rsidRPr="00B87E59" w:rsidRDefault="002C7F74" w:rsidP="00B87E59">
      <w:pPr>
        <w:jc w:val="both"/>
        <w:rPr>
          <w:rFonts w:ascii="Arial" w:hAnsi="Arial" w:cs="Arial"/>
          <w:sz w:val="20"/>
          <w:szCs w:val="20"/>
        </w:rPr>
      </w:pPr>
    </w:p>
    <w:p w:rsidR="002C7F74" w:rsidRPr="00B87E59" w:rsidRDefault="002C7F74" w:rsidP="00B87E59">
      <w:pPr>
        <w:jc w:val="both"/>
        <w:rPr>
          <w:rFonts w:ascii="Arial" w:hAnsi="Arial" w:cs="Arial"/>
          <w:sz w:val="20"/>
          <w:szCs w:val="20"/>
        </w:rPr>
      </w:pPr>
      <w:r w:rsidRPr="00B87E59">
        <w:rPr>
          <w:rFonts w:ascii="Arial" w:hAnsi="Arial" w:cs="Arial"/>
          <w:sz w:val="20"/>
          <w:szCs w:val="20"/>
        </w:rPr>
        <w:t xml:space="preserve">Der in einem Gewerberaummietvertrag verwendete Begriff "Betriebskosten" erfasst dann, wenn sich kein übereinstimmendes abweichendes Begriffsverständnis der Vertragsparteien feststellen lässt, auch ohne weitere Erläuterungen alle zum Zeitpunkt des Vertragsschlusses in die gesetzliche Definition nach §556 Abs.1 Satz2 und3BGB </w:t>
      </w:r>
      <w:proofErr w:type="spellStart"/>
      <w:r w:rsidRPr="00B87E59">
        <w:rPr>
          <w:rFonts w:ascii="Arial" w:hAnsi="Arial" w:cs="Arial"/>
          <w:sz w:val="20"/>
          <w:szCs w:val="20"/>
        </w:rPr>
        <w:t>iVm</w:t>
      </w:r>
      <w:proofErr w:type="spellEnd"/>
      <w:r w:rsidRPr="00B87E59">
        <w:rPr>
          <w:rFonts w:ascii="Arial" w:hAnsi="Arial" w:cs="Arial"/>
          <w:sz w:val="20"/>
          <w:szCs w:val="20"/>
        </w:rPr>
        <w:t xml:space="preserve"> §2 </w:t>
      </w:r>
      <w:proofErr w:type="spellStart"/>
      <w:r w:rsidRPr="00B87E59">
        <w:rPr>
          <w:rFonts w:ascii="Arial" w:hAnsi="Arial" w:cs="Arial"/>
          <w:sz w:val="20"/>
          <w:szCs w:val="20"/>
        </w:rPr>
        <w:t>BetrKV</w:t>
      </w:r>
      <w:proofErr w:type="spellEnd"/>
      <w:r w:rsidRPr="00B87E59">
        <w:rPr>
          <w:rFonts w:ascii="Arial" w:hAnsi="Arial" w:cs="Arial"/>
          <w:sz w:val="20"/>
          <w:szCs w:val="20"/>
        </w:rPr>
        <w:t xml:space="preserve"> einbezogenen Kostenarten (Fortführung von BGH Urteil vom 10.Februar 2016 -VIIIZR137/15-NJW 2016, 1308).</w:t>
      </w:r>
    </w:p>
    <w:p w:rsidR="002C7F74" w:rsidRPr="00B87E59" w:rsidRDefault="002C7F74" w:rsidP="00B87E59">
      <w:pPr>
        <w:rPr>
          <w:rFonts w:ascii="Arial" w:hAnsi="Arial" w:cs="Arial"/>
          <w:sz w:val="20"/>
          <w:szCs w:val="20"/>
        </w:rPr>
      </w:pPr>
    </w:p>
    <w:p w:rsidR="002C7F74" w:rsidRPr="00B87E59" w:rsidRDefault="002C7F74" w:rsidP="00B87E59">
      <w:pPr>
        <w:jc w:val="both"/>
        <w:rPr>
          <w:rFonts w:ascii="Arial" w:hAnsi="Arial" w:cs="Arial"/>
          <w:sz w:val="20"/>
          <w:szCs w:val="20"/>
        </w:rPr>
      </w:pPr>
      <w:r w:rsidRPr="00B87E59">
        <w:rPr>
          <w:rFonts w:ascii="Arial" w:hAnsi="Arial" w:cs="Arial"/>
          <w:sz w:val="20"/>
          <w:szCs w:val="20"/>
        </w:rPr>
        <w:t>Einer einzelvertraglichen Vereinbarung, wonach der Mieter sämtliche Betriebskosten zu tragen hat, fehlt es im Bereich der Gewerberaummiete nicht an der für eine Vertragsauslegung erforderlichen Bestimmtheit bzw. Bestimmbarkeit.</w:t>
      </w:r>
    </w:p>
    <w:p w:rsidR="002C7F74" w:rsidRPr="00B87E59" w:rsidRDefault="002C7F74" w:rsidP="00B87E59">
      <w:pPr>
        <w:rPr>
          <w:rFonts w:ascii="Arial" w:hAnsi="Arial" w:cs="Arial"/>
          <w:sz w:val="20"/>
          <w:szCs w:val="20"/>
        </w:rPr>
      </w:pPr>
    </w:p>
    <w:p w:rsidR="002C7F74" w:rsidRPr="00B87E59" w:rsidRDefault="002C7F74" w:rsidP="00B87E59">
      <w:pPr>
        <w:jc w:val="both"/>
        <w:rPr>
          <w:rFonts w:ascii="Arial" w:hAnsi="Arial" w:cs="Arial"/>
          <w:sz w:val="20"/>
          <w:szCs w:val="20"/>
        </w:rPr>
      </w:pPr>
      <w:r w:rsidRPr="00B87E59">
        <w:rPr>
          <w:rFonts w:ascii="Arial" w:hAnsi="Arial" w:cs="Arial"/>
          <w:sz w:val="20"/>
          <w:szCs w:val="20"/>
        </w:rPr>
        <w:t>Eine solche Regelung erfasst auch dann alle von der Betriebskostenverordnung zum Zeitpunkt des Vertragsschlusses aufgelisteten Kostenarten, wenn sich ihr eine mit "insbesondere" eingeleitete Aufzählung einzelner Kostenarten aus dem Katalog anschließt</w:t>
      </w:r>
    </w:p>
    <w:p w:rsidR="0082147F" w:rsidRDefault="0082147F">
      <w:pPr>
        <w:spacing w:after="160" w:line="259" w:lineRule="auto"/>
        <w:rPr>
          <w:rFonts w:ascii="Arial" w:hAnsi="Arial" w:cs="Arial"/>
          <w:sz w:val="20"/>
          <w:szCs w:val="20"/>
        </w:rPr>
      </w:pPr>
      <w:r>
        <w:rPr>
          <w:rFonts w:ascii="Arial" w:hAnsi="Arial" w:cs="Arial"/>
          <w:sz w:val="20"/>
          <w:szCs w:val="20"/>
        </w:rPr>
        <w:br w:type="page"/>
      </w:r>
    </w:p>
    <w:p w:rsidR="002C7F74" w:rsidRPr="00B87E59" w:rsidRDefault="002C7F74" w:rsidP="002C7F74">
      <w:pPr>
        <w:rPr>
          <w:rFonts w:ascii="Arial" w:hAnsi="Arial" w:cs="Arial"/>
          <w:sz w:val="20"/>
          <w:szCs w:val="20"/>
        </w:rPr>
      </w:pPr>
    </w:p>
    <w:p w:rsidR="00B87E59" w:rsidRDefault="00B87E59" w:rsidP="00B87E59">
      <w:pPr>
        <w:jc w:val="center"/>
        <w:rPr>
          <w:rFonts w:ascii="Arial" w:hAnsi="Arial" w:cs="Arial"/>
          <w:b/>
          <w:sz w:val="20"/>
          <w:szCs w:val="20"/>
        </w:rPr>
      </w:pPr>
      <w:r w:rsidRPr="00B87E59">
        <w:rPr>
          <w:rFonts w:ascii="Arial" w:hAnsi="Arial" w:cs="Arial"/>
          <w:b/>
          <w:sz w:val="20"/>
          <w:szCs w:val="20"/>
        </w:rPr>
        <w:t>IV.</w:t>
      </w:r>
    </w:p>
    <w:p w:rsidR="00B87E59" w:rsidRPr="00B87E59" w:rsidRDefault="00B87E59" w:rsidP="00B87E59">
      <w:pPr>
        <w:jc w:val="center"/>
        <w:rPr>
          <w:rFonts w:ascii="Arial" w:hAnsi="Arial" w:cs="Arial"/>
          <w:b/>
          <w:sz w:val="20"/>
          <w:szCs w:val="20"/>
        </w:rPr>
      </w:pPr>
      <w:r w:rsidRPr="00B87E59">
        <w:rPr>
          <w:rFonts w:ascii="Arial" w:hAnsi="Arial" w:cs="Arial"/>
          <w:b/>
          <w:bCs/>
          <w:sz w:val="20"/>
          <w:szCs w:val="20"/>
        </w:rPr>
        <w:t>Verbot der privaten Nutzung von Internet und E-Mail; Kündigung wegen exzessiver Privatnutzung; Arbeitszeitbetrug; prozessuales Verwertungsverbot</w:t>
      </w:r>
    </w:p>
    <w:p w:rsidR="00B87E59" w:rsidRPr="00B87E59" w:rsidRDefault="00B87E59" w:rsidP="00B87E59">
      <w:pPr>
        <w:jc w:val="center"/>
        <w:rPr>
          <w:rFonts w:ascii="Arial" w:hAnsi="Arial" w:cs="Arial"/>
          <w:sz w:val="20"/>
          <w:szCs w:val="20"/>
        </w:rPr>
      </w:pPr>
      <w:r w:rsidRPr="00B87E59">
        <w:rPr>
          <w:rFonts w:ascii="Arial" w:hAnsi="Arial" w:cs="Arial"/>
          <w:bCs/>
          <w:sz w:val="20"/>
          <w:szCs w:val="20"/>
        </w:rPr>
        <w:t>Landesarbeitsgericht Köln, Urteil vom 7.02.2020 , Az. 4 Sa 329/19</w:t>
      </w:r>
    </w:p>
    <w:p w:rsidR="00B87E59" w:rsidRPr="00B87E59" w:rsidRDefault="00B87E59" w:rsidP="00B87E59">
      <w:pPr>
        <w:jc w:val="both"/>
        <w:rPr>
          <w:rFonts w:ascii="Arial" w:hAnsi="Arial" w:cs="Arial"/>
          <w:sz w:val="20"/>
          <w:szCs w:val="20"/>
        </w:rPr>
      </w:pPr>
    </w:p>
    <w:p w:rsidR="008D6C54" w:rsidRPr="00B87E59" w:rsidRDefault="002C7F74" w:rsidP="008D6C54">
      <w:pPr>
        <w:jc w:val="both"/>
        <w:rPr>
          <w:sz w:val="22"/>
          <w:szCs w:val="22"/>
        </w:rPr>
      </w:pPr>
      <w:r w:rsidRPr="00B87E59">
        <w:rPr>
          <w:rFonts w:ascii="Arial" w:hAnsi="Arial" w:cs="Arial"/>
          <w:sz w:val="20"/>
          <w:szCs w:val="20"/>
        </w:rPr>
        <w:t>Die private Nutzung von Internet und E-Mail am Dienst-PC trotz entsprechendes Verbots während der Arbeitszeit rechtfertigt jedenfalls dann eine fristlose Kündigung, wenn der Arbeitnehmer sowohl an mehreren Tagen durchgehend und als auch über Monate hinweg regelmäßig URL-Aufrufe und E-Mails zu privaten Zwecken getätigt hat. Dies gilt umso mehr, wenn zwischen den einzelnen URL-Aufrufen ein Zeitraum von weniger als ein bis zwei Minuten liegt, denn dazwischen kann keine</w:t>
      </w:r>
      <w:r w:rsidR="008D6C54" w:rsidRPr="00B87E59">
        <w:rPr>
          <w:rFonts w:ascii="Arial" w:hAnsi="Arial" w:cs="Arial"/>
          <w:sz w:val="20"/>
          <w:szCs w:val="20"/>
        </w:rPr>
        <w:t xml:space="preserve"> Arbeitsleistung erbracht worden sein.</w:t>
      </w:r>
    </w:p>
    <w:p w:rsidR="002C7F74" w:rsidRPr="00B87E59" w:rsidRDefault="002C7F74" w:rsidP="002C7F74">
      <w:pPr>
        <w:rPr>
          <w:rFonts w:ascii="Arial" w:hAnsi="Arial" w:cs="Arial"/>
          <w:sz w:val="20"/>
          <w:szCs w:val="20"/>
        </w:rPr>
      </w:pPr>
    </w:p>
    <w:p w:rsidR="002C7F74" w:rsidRDefault="00B87E59" w:rsidP="00B87E59">
      <w:pPr>
        <w:jc w:val="center"/>
        <w:rPr>
          <w:rFonts w:ascii="Arial" w:hAnsi="Arial" w:cs="Arial"/>
          <w:b/>
          <w:sz w:val="20"/>
          <w:szCs w:val="20"/>
        </w:rPr>
      </w:pPr>
      <w:r w:rsidRPr="00B87E59">
        <w:rPr>
          <w:rFonts w:ascii="Arial" w:hAnsi="Arial" w:cs="Arial"/>
          <w:b/>
          <w:sz w:val="20"/>
          <w:szCs w:val="20"/>
        </w:rPr>
        <w:t>V.</w:t>
      </w:r>
    </w:p>
    <w:p w:rsidR="00B87E59" w:rsidRPr="00B87E59" w:rsidRDefault="00B87E59" w:rsidP="00B87E59">
      <w:pPr>
        <w:jc w:val="center"/>
        <w:rPr>
          <w:rFonts w:ascii="Arial" w:hAnsi="Arial" w:cs="Arial"/>
          <w:b/>
          <w:sz w:val="20"/>
          <w:szCs w:val="20"/>
        </w:rPr>
      </w:pPr>
      <w:r w:rsidRPr="00B87E59">
        <w:rPr>
          <w:rFonts w:ascii="Arial" w:hAnsi="Arial" w:cs="Arial"/>
          <w:b/>
          <w:bCs/>
          <w:sz w:val="20"/>
          <w:szCs w:val="20"/>
        </w:rPr>
        <w:t>Befristungskontrollklage, einvernehmliche Vorverlegung des Beginns des Arbeitsverhältnisses - Arbeitszeit im arbeitsvertraglichen Sinn, Schulungsanreise, Schriftformgebot, unbefristetes Arbeitsverhältnis</w:t>
      </w:r>
    </w:p>
    <w:p w:rsidR="00B87E59" w:rsidRPr="00B87E59" w:rsidRDefault="00B87E59" w:rsidP="00B87E59">
      <w:pPr>
        <w:jc w:val="center"/>
        <w:rPr>
          <w:rFonts w:ascii="Arial" w:hAnsi="Arial" w:cs="Arial"/>
          <w:sz w:val="20"/>
          <w:szCs w:val="20"/>
        </w:rPr>
      </w:pPr>
      <w:r w:rsidRPr="00B87E59">
        <w:rPr>
          <w:rFonts w:ascii="Arial" w:hAnsi="Arial" w:cs="Arial"/>
          <w:bCs/>
          <w:sz w:val="20"/>
          <w:szCs w:val="20"/>
        </w:rPr>
        <w:t>Landesarbeitsgericht Düsseldorf, Urteil vom 21.02.2020, Az. 10 Sa 252/19</w:t>
      </w:r>
    </w:p>
    <w:p w:rsidR="002C7F74" w:rsidRPr="00B87E59" w:rsidRDefault="002C7F74" w:rsidP="002C7F74">
      <w:pPr>
        <w:rPr>
          <w:rFonts w:ascii="Arial" w:hAnsi="Arial" w:cs="Arial"/>
          <w:sz w:val="20"/>
          <w:szCs w:val="20"/>
        </w:rPr>
      </w:pPr>
    </w:p>
    <w:p w:rsidR="002C7F74" w:rsidRPr="00B87E59" w:rsidRDefault="002C7F74" w:rsidP="002C7F74">
      <w:pPr>
        <w:jc w:val="both"/>
      </w:pPr>
      <w:r w:rsidRPr="00B87E59">
        <w:rPr>
          <w:rFonts w:ascii="Arial" w:hAnsi="Arial" w:cs="Arial"/>
          <w:sz w:val="20"/>
          <w:szCs w:val="20"/>
        </w:rPr>
        <w:t xml:space="preserve">1.Einigen sich die Vertragsparteien darüber, dass der Arbeitnehmer zu einer im betrieblichen Interesse erforderlichen und angeordneten Schulung, die am frühen Morgen des Tages beginnen soll, der zunächst als Vertragsbeginn vorgesehen war, bereits am Vortag anreist, weil der Schulungsort </w:t>
      </w:r>
      <w:proofErr w:type="spellStart"/>
      <w:r w:rsidRPr="00B87E59">
        <w:rPr>
          <w:rFonts w:ascii="Arial" w:hAnsi="Arial" w:cs="Arial"/>
          <w:sz w:val="20"/>
          <w:szCs w:val="20"/>
        </w:rPr>
        <w:t>so weit</w:t>
      </w:r>
      <w:proofErr w:type="spellEnd"/>
      <w:r w:rsidRPr="00B87E59">
        <w:rPr>
          <w:rFonts w:ascii="Arial" w:hAnsi="Arial" w:cs="Arial"/>
          <w:sz w:val="20"/>
          <w:szCs w:val="20"/>
        </w:rPr>
        <w:t xml:space="preserve"> vom Dienstort entfernt liegt, dass anderenfalls eine rechtzeitige Anreise nicht möglich oder unzumutbar wäre, handelt es sich bei der Fahrtzeit für die dienstlich erforderliche Anreise um Arbeitszeit im arbeitsvertragsrechtlichen Sinne. Der Arbeitnehmer erbringt damit bereits die versprochenen Dienste im Sinne von § 611 Abs. 1 BGB (a.F.). Vertragsrechtliche Arbeitszeit ohne Arbeitsvertrag gibt es nicht (Im Anschluss an Landesarbeitsgericht Düsseldorf, Urteil vom 09. April 2019 - 3 Sa 1126/18 -, </w:t>
      </w:r>
      <w:proofErr w:type="spellStart"/>
      <w:r w:rsidRPr="00B87E59">
        <w:rPr>
          <w:rFonts w:ascii="Arial" w:hAnsi="Arial" w:cs="Arial"/>
          <w:sz w:val="20"/>
          <w:szCs w:val="20"/>
        </w:rPr>
        <w:t>juris</w:t>
      </w:r>
      <w:proofErr w:type="spellEnd"/>
      <w:r w:rsidRPr="00B87E59">
        <w:rPr>
          <w:rFonts w:ascii="Arial" w:hAnsi="Arial" w:cs="Arial"/>
          <w:sz w:val="20"/>
          <w:szCs w:val="20"/>
        </w:rPr>
        <w:t xml:space="preserve">). </w:t>
      </w:r>
    </w:p>
    <w:p w:rsidR="00B87E59" w:rsidRDefault="00B87E59" w:rsidP="002C7F74">
      <w:pPr>
        <w:jc w:val="both"/>
        <w:rPr>
          <w:rFonts w:ascii="Arial" w:hAnsi="Arial" w:cs="Arial"/>
          <w:sz w:val="20"/>
          <w:szCs w:val="20"/>
        </w:rPr>
      </w:pPr>
    </w:p>
    <w:p w:rsidR="002C7F74" w:rsidRPr="00B87E59" w:rsidRDefault="002C7F74" w:rsidP="002C7F74">
      <w:pPr>
        <w:jc w:val="both"/>
      </w:pPr>
      <w:r w:rsidRPr="00B87E59">
        <w:rPr>
          <w:rFonts w:ascii="Arial" w:hAnsi="Arial" w:cs="Arial"/>
          <w:sz w:val="20"/>
          <w:szCs w:val="20"/>
        </w:rPr>
        <w:t xml:space="preserve">2. Die Einigung über vertragsrechtliche Arbeitszeit am Vortag des ursprünglich vorgesehenen Vertragsbeginns führt zur einvernehmlichen Vorverlegung des Beginns des Arbeitsverhältnisses auf den Tag der Dienstreise. </w:t>
      </w:r>
    </w:p>
    <w:p w:rsidR="00B87E59" w:rsidRPr="00B87E59" w:rsidRDefault="00B87E59" w:rsidP="002C7F74">
      <w:pPr>
        <w:jc w:val="both"/>
        <w:rPr>
          <w:rFonts w:ascii="Arial" w:hAnsi="Arial" w:cs="Arial"/>
          <w:sz w:val="20"/>
          <w:szCs w:val="20"/>
        </w:rPr>
      </w:pPr>
    </w:p>
    <w:p w:rsidR="002C7F74" w:rsidRPr="00B87E59" w:rsidRDefault="002C7F74" w:rsidP="002C7F74">
      <w:pPr>
        <w:jc w:val="both"/>
      </w:pPr>
      <w:r w:rsidRPr="00B87E59">
        <w:rPr>
          <w:rFonts w:ascii="Arial" w:hAnsi="Arial" w:cs="Arial"/>
          <w:sz w:val="20"/>
          <w:szCs w:val="20"/>
        </w:rPr>
        <w:t xml:space="preserve">3. Beginnt das Arbeitsverhältnis dementsprechend am 04.09.2016, überschreitet eine bis 04.09.2018 vereinbarte Befristung den für sachgrundlose Befristungen nach § 14 Abs. 2 Satz 1 </w:t>
      </w:r>
      <w:proofErr w:type="spellStart"/>
      <w:r w:rsidRPr="00B87E59">
        <w:rPr>
          <w:rFonts w:ascii="Arial" w:hAnsi="Arial" w:cs="Arial"/>
          <w:sz w:val="20"/>
          <w:szCs w:val="20"/>
        </w:rPr>
        <w:t>TzBfG</w:t>
      </w:r>
      <w:proofErr w:type="spellEnd"/>
      <w:r w:rsidRPr="00B87E59">
        <w:rPr>
          <w:rFonts w:ascii="Arial" w:hAnsi="Arial" w:cs="Arial"/>
          <w:sz w:val="20"/>
          <w:szCs w:val="20"/>
        </w:rPr>
        <w:t xml:space="preserve"> maximal zulässigen Zeitraum von zwei Jahren um einen Tag. Rechtsfolge ist die Unwirksamkeit der Befristungsabrede und das Zustandekommen eines unbefristeten Arbeitsverhältnisses.</w:t>
      </w:r>
    </w:p>
    <w:p w:rsidR="002C7F74" w:rsidRDefault="002C7F74" w:rsidP="002C7F74">
      <w:pPr>
        <w:rPr>
          <w:rFonts w:ascii="Arial" w:hAnsi="Arial" w:cs="Arial"/>
          <w:sz w:val="20"/>
        </w:rPr>
      </w:pPr>
    </w:p>
    <w:p w:rsidR="00B87E59" w:rsidRDefault="00B87E59" w:rsidP="00B87E59">
      <w:pPr>
        <w:jc w:val="center"/>
        <w:rPr>
          <w:rFonts w:ascii="Arial" w:hAnsi="Arial" w:cs="Arial"/>
          <w:b/>
          <w:sz w:val="20"/>
        </w:rPr>
      </w:pPr>
      <w:r w:rsidRPr="00B87E59">
        <w:rPr>
          <w:rFonts w:ascii="Arial" w:hAnsi="Arial" w:cs="Arial"/>
          <w:b/>
          <w:sz w:val="20"/>
        </w:rPr>
        <w:t>VI.</w:t>
      </w:r>
    </w:p>
    <w:p w:rsidR="00B87E59" w:rsidRPr="00B87E59" w:rsidRDefault="00B87E59" w:rsidP="00B87E59">
      <w:pPr>
        <w:jc w:val="center"/>
        <w:rPr>
          <w:rFonts w:ascii="Arial" w:hAnsi="Arial" w:cs="Arial"/>
          <w:b/>
          <w:sz w:val="20"/>
        </w:rPr>
      </w:pPr>
      <w:r w:rsidRPr="00B87E59">
        <w:rPr>
          <w:rFonts w:ascii="Arial" w:hAnsi="Arial" w:cs="Arial"/>
          <w:b/>
          <w:bCs/>
          <w:sz w:val="20"/>
        </w:rPr>
        <w:t>Urlaubsabgeltung, Verjährung</w:t>
      </w:r>
    </w:p>
    <w:p w:rsidR="00B87E59" w:rsidRPr="00B87E59" w:rsidRDefault="00B87E59" w:rsidP="00B87E59">
      <w:pPr>
        <w:jc w:val="center"/>
        <w:rPr>
          <w:rFonts w:ascii="Arial" w:hAnsi="Arial" w:cs="Arial"/>
          <w:sz w:val="20"/>
        </w:rPr>
      </w:pPr>
      <w:r w:rsidRPr="00B87E59">
        <w:rPr>
          <w:rFonts w:ascii="Arial" w:hAnsi="Arial" w:cs="Arial"/>
          <w:bCs/>
          <w:sz w:val="20"/>
        </w:rPr>
        <w:t>Landesarbeitsgericht Düsseldorf, Urteil vom 2.02.2020, Az. 10 Sa 180/19</w:t>
      </w:r>
    </w:p>
    <w:p w:rsidR="00B87E59" w:rsidRPr="00B87E59" w:rsidRDefault="00B87E59" w:rsidP="00B87E59">
      <w:pPr>
        <w:jc w:val="both"/>
        <w:rPr>
          <w:rFonts w:ascii="Arial" w:hAnsi="Arial" w:cs="Arial"/>
          <w:sz w:val="20"/>
        </w:rPr>
      </w:pPr>
    </w:p>
    <w:p w:rsidR="008D6C54" w:rsidRPr="00B87E59" w:rsidRDefault="008D6C54" w:rsidP="008D6C54">
      <w:pPr>
        <w:jc w:val="both"/>
      </w:pPr>
      <w:r w:rsidRPr="00B87E59">
        <w:rPr>
          <w:rFonts w:ascii="Arial" w:hAnsi="Arial" w:cs="Arial"/>
          <w:sz w:val="20"/>
          <w:szCs w:val="20"/>
        </w:rPr>
        <w:t xml:space="preserve">1. Kommt der Arbeitgeber den Mitwirkungsobliegenheiten nicht nach, die ihn bei einem richtlinienkonformen Verständnis von § 7 Abs. 1 Satz 1 BUrlG treffen, so tritt der am 31. Dezember des Urlaubsjahres nicht verfallene Urlaub zu dem Urlaubsanspruch hinzu, der am 1. Januar des Folgejahres entsteht. Für ihn gelten, wie für den neu entstandenen Urlaubsanspruch, die Regelungen des § 7 Abs. 1 Satz 1 und Abs. 3 BUrlG (BAG, Urteil vom 25. Juni 2019 - 9 AZR 546/17 -, </w:t>
      </w:r>
      <w:proofErr w:type="spellStart"/>
      <w:r w:rsidRPr="00B87E59">
        <w:rPr>
          <w:rFonts w:ascii="Arial" w:hAnsi="Arial" w:cs="Arial"/>
          <w:sz w:val="20"/>
          <w:szCs w:val="20"/>
        </w:rPr>
        <w:t>Rn</w:t>
      </w:r>
      <w:proofErr w:type="spellEnd"/>
      <w:r w:rsidRPr="00B87E59">
        <w:rPr>
          <w:rFonts w:ascii="Arial" w:hAnsi="Arial" w:cs="Arial"/>
          <w:sz w:val="20"/>
          <w:szCs w:val="20"/>
        </w:rPr>
        <w:t xml:space="preserve">. 15 ff., </w:t>
      </w:r>
      <w:proofErr w:type="spellStart"/>
      <w:r w:rsidRPr="00B87E59">
        <w:rPr>
          <w:rFonts w:ascii="Arial" w:hAnsi="Arial" w:cs="Arial"/>
          <w:sz w:val="20"/>
          <w:szCs w:val="20"/>
        </w:rPr>
        <w:t>juris</w:t>
      </w:r>
      <w:proofErr w:type="spellEnd"/>
      <w:r w:rsidRPr="00B87E59">
        <w:rPr>
          <w:rFonts w:ascii="Arial" w:hAnsi="Arial" w:cs="Arial"/>
          <w:sz w:val="20"/>
          <w:szCs w:val="20"/>
        </w:rPr>
        <w:t xml:space="preserve">). </w:t>
      </w:r>
    </w:p>
    <w:p w:rsidR="00B87E59" w:rsidRDefault="00B87E59" w:rsidP="008D6C54">
      <w:pPr>
        <w:jc w:val="both"/>
        <w:rPr>
          <w:rFonts w:ascii="Arial" w:hAnsi="Arial" w:cs="Arial"/>
          <w:sz w:val="20"/>
          <w:szCs w:val="20"/>
        </w:rPr>
      </w:pPr>
    </w:p>
    <w:p w:rsidR="008D6C54" w:rsidRPr="00B87E59" w:rsidRDefault="008D6C54" w:rsidP="008D6C54">
      <w:pPr>
        <w:jc w:val="both"/>
      </w:pPr>
      <w:r w:rsidRPr="00B87E59">
        <w:rPr>
          <w:rFonts w:ascii="Arial" w:hAnsi="Arial" w:cs="Arial"/>
          <w:sz w:val="20"/>
          <w:szCs w:val="20"/>
        </w:rPr>
        <w:t>2. Kommt der Arbeitgeber seinen Mitwirkungsobliegenheiten auch in den Folgejahren nicht nach, kann er die Erfüllung des über die Jahre kumulierten Urlaubsanspruchs nicht unter Berufung auf den Eintritt der Verjährung nach § 214 Abs. 1 BGB verweigern.</w:t>
      </w:r>
    </w:p>
    <w:p w:rsidR="008D6C54" w:rsidRDefault="008D6C54" w:rsidP="002C7F74">
      <w:pPr>
        <w:rPr>
          <w:rFonts w:ascii="Arial" w:hAnsi="Arial" w:cs="Arial"/>
          <w:sz w:val="20"/>
        </w:rPr>
      </w:pPr>
    </w:p>
    <w:p w:rsidR="00B87E59" w:rsidRDefault="00B87E59" w:rsidP="00B87E59">
      <w:pPr>
        <w:jc w:val="center"/>
        <w:rPr>
          <w:rFonts w:ascii="Arial" w:hAnsi="Arial" w:cs="Arial"/>
          <w:b/>
          <w:sz w:val="20"/>
        </w:rPr>
      </w:pPr>
      <w:r w:rsidRPr="00B87E59">
        <w:rPr>
          <w:rFonts w:ascii="Arial" w:hAnsi="Arial" w:cs="Arial"/>
          <w:b/>
          <w:sz w:val="20"/>
        </w:rPr>
        <w:t>VII.</w:t>
      </w:r>
    </w:p>
    <w:p w:rsidR="00B87E59" w:rsidRPr="00B87E59" w:rsidRDefault="00B87E59" w:rsidP="00B87E59">
      <w:pPr>
        <w:jc w:val="center"/>
        <w:rPr>
          <w:rFonts w:ascii="Arial" w:hAnsi="Arial" w:cs="Arial"/>
          <w:b/>
          <w:sz w:val="20"/>
        </w:rPr>
      </w:pPr>
      <w:r w:rsidRPr="00B87E59">
        <w:rPr>
          <w:rFonts w:ascii="Arial" w:hAnsi="Arial" w:cs="Arial"/>
          <w:b/>
          <w:bCs/>
          <w:sz w:val="20"/>
        </w:rPr>
        <w:t>Qualifiziertes Endzeugnis; Vergleich; Zeugnisdatum; Zeugniswahrheitspflicht; Kündigungsschutzprozess; Zwangsgeld</w:t>
      </w:r>
    </w:p>
    <w:p w:rsidR="00C551A0" w:rsidRPr="00C551A0" w:rsidRDefault="00C551A0" w:rsidP="00C551A0">
      <w:pPr>
        <w:jc w:val="center"/>
        <w:rPr>
          <w:rFonts w:ascii="Arial" w:hAnsi="Arial" w:cs="Arial"/>
          <w:sz w:val="20"/>
        </w:rPr>
      </w:pPr>
      <w:r w:rsidRPr="00C551A0">
        <w:rPr>
          <w:rFonts w:ascii="Arial" w:hAnsi="Arial" w:cs="Arial"/>
          <w:bCs/>
          <w:sz w:val="20"/>
        </w:rPr>
        <w:t xml:space="preserve">Landesarbeitsgericht Köln, Beschluss vom 27.03.2020, Az. 7 </w:t>
      </w:r>
      <w:proofErr w:type="spellStart"/>
      <w:r w:rsidRPr="00C551A0">
        <w:rPr>
          <w:rFonts w:ascii="Arial" w:hAnsi="Arial" w:cs="Arial"/>
          <w:bCs/>
          <w:sz w:val="20"/>
        </w:rPr>
        <w:t>Ta</w:t>
      </w:r>
      <w:proofErr w:type="spellEnd"/>
      <w:r w:rsidRPr="00C551A0">
        <w:rPr>
          <w:rFonts w:ascii="Arial" w:hAnsi="Arial" w:cs="Arial"/>
          <w:bCs/>
          <w:sz w:val="20"/>
        </w:rPr>
        <w:t xml:space="preserve"> 200/19</w:t>
      </w:r>
    </w:p>
    <w:p w:rsidR="00B87E59" w:rsidRPr="00B87E59" w:rsidRDefault="00B87E59" w:rsidP="00B87E59">
      <w:pPr>
        <w:jc w:val="center"/>
        <w:rPr>
          <w:rFonts w:ascii="Arial" w:hAnsi="Arial" w:cs="Arial"/>
          <w:b/>
          <w:sz w:val="20"/>
        </w:rPr>
      </w:pPr>
    </w:p>
    <w:p w:rsidR="008D6C54" w:rsidRPr="00B87E59" w:rsidRDefault="008D6C54" w:rsidP="002C7F74">
      <w:pPr>
        <w:rPr>
          <w:rFonts w:ascii="Arial" w:hAnsi="Arial" w:cs="Arial"/>
          <w:sz w:val="20"/>
        </w:rPr>
      </w:pPr>
    </w:p>
    <w:p w:rsidR="008D6C54" w:rsidRPr="00C551A0" w:rsidRDefault="008D6C54" w:rsidP="008D6C54">
      <w:pPr>
        <w:jc w:val="both"/>
      </w:pPr>
      <w:r w:rsidRPr="00C551A0">
        <w:rPr>
          <w:rFonts w:ascii="Arial" w:hAnsi="Arial" w:cs="Arial"/>
          <w:sz w:val="20"/>
          <w:szCs w:val="20"/>
        </w:rPr>
        <w:t>Das Zeugnisdatum, mit dem ein qualifiziertes Arbeitsendzeugnis versehen wird, hat regelmäßig den Tag der rechtlichen Beendigung des Arbeitsverhältnisses zu bezeichnen, nicht dagegen den Tag, an dem das Zeugnis tatsächlich physisch ausgestellt worden ist.</w:t>
      </w:r>
    </w:p>
    <w:p w:rsidR="0082147F" w:rsidRDefault="0082147F">
      <w:pPr>
        <w:spacing w:after="160" w:line="259" w:lineRule="auto"/>
        <w:rPr>
          <w:rFonts w:ascii="Arial" w:hAnsi="Arial" w:cs="Arial"/>
          <w:sz w:val="20"/>
        </w:rPr>
      </w:pPr>
      <w:r>
        <w:rPr>
          <w:rFonts w:ascii="Arial" w:hAnsi="Arial" w:cs="Arial"/>
          <w:sz w:val="20"/>
        </w:rPr>
        <w:br w:type="page"/>
      </w:r>
    </w:p>
    <w:p w:rsidR="008D6C54" w:rsidRDefault="008D6C54" w:rsidP="002C7F74">
      <w:pPr>
        <w:rPr>
          <w:rFonts w:ascii="Arial" w:hAnsi="Arial" w:cs="Arial"/>
          <w:sz w:val="20"/>
        </w:rPr>
      </w:pPr>
      <w:bookmarkStart w:id="2" w:name="_GoBack"/>
      <w:bookmarkEnd w:id="2"/>
    </w:p>
    <w:p w:rsidR="00AB4F20" w:rsidRDefault="0082147F" w:rsidP="0082147F">
      <w:pPr>
        <w:jc w:val="center"/>
        <w:rPr>
          <w:rFonts w:ascii="Arial" w:hAnsi="Arial" w:cs="Arial"/>
          <w:b/>
          <w:sz w:val="20"/>
        </w:rPr>
      </w:pPr>
      <w:r w:rsidRPr="0082147F">
        <w:rPr>
          <w:rFonts w:ascii="Arial" w:hAnsi="Arial" w:cs="Arial"/>
          <w:b/>
          <w:sz w:val="20"/>
        </w:rPr>
        <w:t>VIII.</w:t>
      </w:r>
    </w:p>
    <w:p w:rsidR="0082147F" w:rsidRPr="0082147F" w:rsidRDefault="0082147F" w:rsidP="0082147F">
      <w:pPr>
        <w:jc w:val="center"/>
        <w:rPr>
          <w:rFonts w:ascii="Arial" w:hAnsi="Arial" w:cs="Arial"/>
          <w:b/>
          <w:sz w:val="20"/>
        </w:rPr>
      </w:pPr>
      <w:r w:rsidRPr="0082147F">
        <w:rPr>
          <w:rFonts w:ascii="Arial" w:hAnsi="Arial" w:cs="Arial"/>
          <w:b/>
          <w:sz w:val="20"/>
        </w:rPr>
        <w:t>Unerlaubte Straßenbenutzung; Anspruch auf behördliches Einschreiten (hier verneint)</w:t>
      </w:r>
    </w:p>
    <w:p w:rsidR="0082147F" w:rsidRPr="0082147F" w:rsidRDefault="0082147F" w:rsidP="0082147F">
      <w:pPr>
        <w:jc w:val="center"/>
        <w:rPr>
          <w:rFonts w:ascii="Arial" w:hAnsi="Arial" w:cs="Arial"/>
          <w:sz w:val="20"/>
        </w:rPr>
      </w:pPr>
      <w:r w:rsidRPr="0082147F">
        <w:rPr>
          <w:rFonts w:ascii="Arial" w:hAnsi="Arial" w:cs="Arial"/>
          <w:sz w:val="20"/>
        </w:rPr>
        <w:t>OVG Lüneburg, Beschluss vom 04. Mai 2020</w:t>
      </w:r>
      <w:r>
        <w:rPr>
          <w:rFonts w:ascii="Arial" w:hAnsi="Arial" w:cs="Arial"/>
          <w:sz w:val="20"/>
        </w:rPr>
        <w:t>, Az. 7 ME 37/20</w:t>
      </w:r>
    </w:p>
    <w:p w:rsidR="0082147F" w:rsidRDefault="0082147F" w:rsidP="002C7F74">
      <w:pPr>
        <w:rPr>
          <w:rFonts w:ascii="Arial" w:hAnsi="Arial" w:cs="Arial"/>
          <w:sz w:val="20"/>
        </w:rPr>
      </w:pPr>
    </w:p>
    <w:p w:rsidR="0082147F" w:rsidRPr="0082147F" w:rsidRDefault="0082147F" w:rsidP="0082147F">
      <w:pPr>
        <w:jc w:val="both"/>
        <w:rPr>
          <w:rFonts w:ascii="Arial" w:hAnsi="Arial" w:cs="Arial"/>
          <w:sz w:val="20"/>
        </w:rPr>
      </w:pPr>
      <w:r w:rsidRPr="0082147F">
        <w:rPr>
          <w:rFonts w:ascii="Arial" w:hAnsi="Arial" w:cs="Arial"/>
          <w:sz w:val="20"/>
        </w:rPr>
        <w:t>Zum geschützten Kern des Anliegergebrauchs gehört nicht die Attraktivität einer bestimmten Straßensituation. Der Eigentümer eines gewerblich genutzten Grundstücks kann deshalb nicht beanspruchen, dass eine zur Straße hin vorhandene Schaufensterfront seines Geschäftshauses uneingeschränkt betrachtet werden kann.</w:t>
      </w:r>
    </w:p>
    <w:p w:rsidR="0082147F" w:rsidRDefault="0082147F" w:rsidP="002C7F74">
      <w:pPr>
        <w:rPr>
          <w:rFonts w:ascii="Arial" w:hAnsi="Arial" w:cs="Arial"/>
          <w:sz w:val="20"/>
        </w:rPr>
      </w:pPr>
    </w:p>
    <w:p w:rsidR="00AB4F20" w:rsidRDefault="0082147F" w:rsidP="0082147F">
      <w:pPr>
        <w:jc w:val="center"/>
        <w:rPr>
          <w:rFonts w:ascii="Arial" w:hAnsi="Arial" w:cs="Arial"/>
          <w:b/>
          <w:sz w:val="20"/>
        </w:rPr>
      </w:pPr>
      <w:r w:rsidRPr="0082147F">
        <w:rPr>
          <w:rFonts w:ascii="Arial" w:hAnsi="Arial" w:cs="Arial"/>
          <w:b/>
          <w:sz w:val="20"/>
        </w:rPr>
        <w:t>IX.</w:t>
      </w:r>
    </w:p>
    <w:p w:rsidR="0082147F" w:rsidRPr="0082147F" w:rsidRDefault="0082147F" w:rsidP="0082147F">
      <w:pPr>
        <w:jc w:val="center"/>
        <w:rPr>
          <w:rFonts w:ascii="Arial" w:hAnsi="Arial" w:cs="Arial"/>
          <w:sz w:val="20"/>
        </w:rPr>
      </w:pPr>
      <w:r w:rsidRPr="0082147F">
        <w:rPr>
          <w:rFonts w:ascii="Arial" w:hAnsi="Arial" w:cs="Arial"/>
          <w:sz w:val="20"/>
        </w:rPr>
        <w:t>OLG München, Beschluss vom 05. Mai 2020</w:t>
      </w:r>
      <w:r>
        <w:rPr>
          <w:rFonts w:ascii="Arial" w:hAnsi="Arial" w:cs="Arial"/>
          <w:sz w:val="20"/>
        </w:rPr>
        <w:t xml:space="preserve">, Az. 31 </w:t>
      </w:r>
      <w:proofErr w:type="spellStart"/>
      <w:r>
        <w:rPr>
          <w:rFonts w:ascii="Arial" w:hAnsi="Arial" w:cs="Arial"/>
          <w:sz w:val="20"/>
        </w:rPr>
        <w:t>Wx</w:t>
      </w:r>
      <w:proofErr w:type="spellEnd"/>
      <w:r>
        <w:rPr>
          <w:rFonts w:ascii="Arial" w:hAnsi="Arial" w:cs="Arial"/>
          <w:sz w:val="20"/>
        </w:rPr>
        <w:t xml:space="preserve"> 246/19</w:t>
      </w:r>
    </w:p>
    <w:p w:rsidR="00AB4F20" w:rsidRDefault="00AB4F20" w:rsidP="002C7F74">
      <w:pPr>
        <w:rPr>
          <w:rFonts w:ascii="Arial" w:hAnsi="Arial" w:cs="Arial"/>
          <w:sz w:val="20"/>
        </w:rPr>
      </w:pPr>
    </w:p>
    <w:p w:rsidR="0082147F" w:rsidRPr="0082147F" w:rsidRDefault="0082147F" w:rsidP="0082147F">
      <w:pPr>
        <w:jc w:val="both"/>
        <w:rPr>
          <w:rFonts w:ascii="Arial" w:hAnsi="Arial" w:cs="Arial"/>
          <w:sz w:val="20"/>
        </w:rPr>
      </w:pPr>
      <w:r w:rsidRPr="0082147F">
        <w:rPr>
          <w:rFonts w:ascii="Arial" w:hAnsi="Arial" w:cs="Arial"/>
          <w:sz w:val="20"/>
        </w:rPr>
        <w:t>1. Ohne das Hinzutreten besonderer Umstände besteht bei einer formgerecht errichteten Verfügung von Todes wegen keine Veranlassung, den Testierwillen des Erblassers zur Zeit der Errichtung anzuzweifeln.</w:t>
      </w:r>
    </w:p>
    <w:p w:rsidR="0082147F" w:rsidRPr="0082147F" w:rsidRDefault="0082147F" w:rsidP="0082147F">
      <w:pPr>
        <w:jc w:val="both"/>
        <w:rPr>
          <w:rFonts w:ascii="Arial" w:hAnsi="Arial" w:cs="Arial"/>
          <w:sz w:val="20"/>
        </w:rPr>
      </w:pPr>
      <w:r w:rsidRPr="0082147F">
        <w:rPr>
          <w:rFonts w:ascii="Arial" w:hAnsi="Arial" w:cs="Arial"/>
          <w:sz w:val="20"/>
        </w:rPr>
        <w:t>2. Errichtet der Erblasser am selben Tag zwei inhaltlich identische Schriftstücke, die Verfügungen von Todes wegen enthalten, liegt die Prüfung nahe, ob der Erblasser zwei Originale oder aber ein Original und eine (handschriftliche) Abschrift errichten wollte.</w:t>
      </w:r>
    </w:p>
    <w:p w:rsidR="0082147F" w:rsidRPr="0082147F" w:rsidRDefault="0082147F" w:rsidP="0082147F">
      <w:pPr>
        <w:jc w:val="both"/>
        <w:rPr>
          <w:rFonts w:ascii="Arial" w:hAnsi="Arial" w:cs="Arial"/>
          <w:sz w:val="20"/>
        </w:rPr>
      </w:pPr>
      <w:r w:rsidRPr="0082147F">
        <w:rPr>
          <w:rFonts w:ascii="Arial" w:hAnsi="Arial" w:cs="Arial"/>
          <w:sz w:val="20"/>
        </w:rPr>
        <w:t>3. Die Feststellungslast für das Vorliegen des Testierwillens trägt grundsätzlich derjenige, der aus einer Verfügung von Todes wegen Rechte herleiten will.</w:t>
      </w:r>
    </w:p>
    <w:p w:rsidR="0082147F" w:rsidRDefault="0082147F" w:rsidP="002C7F74">
      <w:pPr>
        <w:rPr>
          <w:rFonts w:ascii="Arial" w:hAnsi="Arial" w:cs="Arial"/>
          <w:sz w:val="20"/>
        </w:rPr>
      </w:pPr>
    </w:p>
    <w:p w:rsidR="0082147F" w:rsidRDefault="0082147F" w:rsidP="0082147F">
      <w:pPr>
        <w:jc w:val="center"/>
        <w:rPr>
          <w:rFonts w:ascii="Arial" w:hAnsi="Arial" w:cs="Arial"/>
          <w:b/>
          <w:sz w:val="20"/>
        </w:rPr>
      </w:pPr>
      <w:r w:rsidRPr="0082147F">
        <w:rPr>
          <w:rFonts w:ascii="Arial" w:hAnsi="Arial" w:cs="Arial"/>
          <w:b/>
          <w:sz w:val="20"/>
        </w:rPr>
        <w:t>X.</w:t>
      </w:r>
    </w:p>
    <w:p w:rsidR="0082147F" w:rsidRPr="0082147F" w:rsidRDefault="0082147F" w:rsidP="0082147F">
      <w:pPr>
        <w:jc w:val="center"/>
        <w:rPr>
          <w:rFonts w:ascii="Arial" w:hAnsi="Arial" w:cs="Arial"/>
          <w:b/>
          <w:sz w:val="20"/>
        </w:rPr>
      </w:pPr>
      <w:r w:rsidRPr="0082147F">
        <w:rPr>
          <w:rFonts w:ascii="Arial" w:hAnsi="Arial" w:cs="Arial"/>
          <w:b/>
          <w:sz w:val="20"/>
        </w:rPr>
        <w:t>Insolvenzverfahren: Grenzen des Akteneinsichtsrechts des Gläubigers bei Missbrauchsgefahr</w:t>
      </w:r>
    </w:p>
    <w:p w:rsidR="0082147F" w:rsidRPr="0082147F" w:rsidRDefault="0082147F" w:rsidP="0082147F">
      <w:pPr>
        <w:jc w:val="center"/>
        <w:rPr>
          <w:rFonts w:ascii="Arial" w:hAnsi="Arial" w:cs="Arial"/>
          <w:sz w:val="20"/>
        </w:rPr>
      </w:pPr>
      <w:r w:rsidRPr="0082147F">
        <w:rPr>
          <w:rFonts w:ascii="Arial" w:hAnsi="Arial" w:cs="Arial"/>
          <w:sz w:val="20"/>
        </w:rPr>
        <w:t>BGH, Beschluss vom 07. Mai 2020</w:t>
      </w:r>
      <w:r>
        <w:rPr>
          <w:rFonts w:ascii="Arial" w:hAnsi="Arial" w:cs="Arial"/>
          <w:sz w:val="20"/>
        </w:rPr>
        <w:t>, Az.</w:t>
      </w:r>
      <w:r w:rsidRPr="0082147F">
        <w:rPr>
          <w:rFonts w:ascii="Arial" w:hAnsi="Arial" w:cs="Arial"/>
          <w:sz w:val="20"/>
        </w:rPr>
        <w:t xml:space="preserve"> IX ZB 56/19</w:t>
      </w:r>
    </w:p>
    <w:p w:rsidR="0082147F" w:rsidRDefault="0082147F" w:rsidP="002C7F74">
      <w:pPr>
        <w:rPr>
          <w:rFonts w:ascii="Arial" w:hAnsi="Arial" w:cs="Arial"/>
          <w:sz w:val="20"/>
        </w:rPr>
      </w:pPr>
    </w:p>
    <w:p w:rsidR="0082147F" w:rsidRPr="0082147F" w:rsidRDefault="0082147F" w:rsidP="0082147F">
      <w:pPr>
        <w:jc w:val="both"/>
        <w:rPr>
          <w:rFonts w:ascii="Arial" w:hAnsi="Arial" w:cs="Arial"/>
          <w:sz w:val="20"/>
        </w:rPr>
      </w:pPr>
      <w:r w:rsidRPr="0082147F">
        <w:rPr>
          <w:rFonts w:ascii="Arial" w:hAnsi="Arial" w:cs="Arial"/>
          <w:sz w:val="20"/>
        </w:rPr>
        <w:t>Gläubiger einer festgestellten Forderung haben in einem Insolvenzverfahren einen Anspruch auf Akteneinsicht. Ein der Akteneinsicht ausnahmsweise entgegenstehender Missbrauch kann nicht darauf gestützt werden, dass der Gläubiger mit Hilfe der gewonnenen Erkenntnisse Forderungen anderer Gläubiger aufzukaufen beabsichtigt</w:t>
      </w:r>
      <w:r>
        <w:rPr>
          <w:rFonts w:ascii="Arial" w:hAnsi="Arial" w:cs="Arial"/>
          <w:sz w:val="20"/>
        </w:rPr>
        <w:t>.</w:t>
      </w:r>
      <w:bookmarkStart w:id="3" w:name="_retrdlink_8"/>
      <w:r>
        <w:rPr>
          <w:rFonts w:ascii="Arial" w:hAnsi="Arial" w:cs="Arial"/>
          <w:sz w:val="20"/>
        </w:rPr>
        <w:t xml:space="preserve"> </w:t>
      </w:r>
      <w:r w:rsidRPr="0082147F">
        <w:rPr>
          <w:rFonts w:ascii="Arial" w:hAnsi="Arial" w:cs="Arial"/>
          <w:sz w:val="20"/>
        </w:rPr>
        <w:t>(Rn.8)</w:t>
      </w:r>
      <w:bookmarkEnd w:id="3"/>
    </w:p>
    <w:p w:rsidR="0082147F" w:rsidRDefault="0082147F" w:rsidP="0082147F">
      <w:pPr>
        <w:jc w:val="both"/>
        <w:rPr>
          <w:rFonts w:ascii="Arial" w:hAnsi="Arial" w:cs="Arial"/>
          <w:sz w:val="20"/>
        </w:rPr>
      </w:pPr>
    </w:p>
    <w:p w:rsidR="00AB4F20" w:rsidRDefault="00AB4F20" w:rsidP="002C7F74">
      <w:pPr>
        <w:rPr>
          <w:rFonts w:ascii="Arial" w:hAnsi="Arial" w:cs="Arial"/>
          <w:sz w:val="20"/>
        </w:rPr>
      </w:pPr>
    </w:p>
    <w:p w:rsidR="0082147F" w:rsidRDefault="0082147F" w:rsidP="002C7F74">
      <w:pPr>
        <w:rPr>
          <w:rFonts w:ascii="Arial" w:hAnsi="Arial" w:cs="Arial"/>
          <w:sz w:val="20"/>
        </w:rPr>
      </w:pPr>
    </w:p>
    <w:p w:rsidR="0082147F" w:rsidRPr="00273491" w:rsidRDefault="0082147F" w:rsidP="0082147F">
      <w:pPr>
        <w:jc w:val="both"/>
        <w:rPr>
          <w:rFonts w:ascii="Arial" w:hAnsi="Arial" w:cs="Arial"/>
          <w:sz w:val="20"/>
          <w:szCs w:val="20"/>
        </w:rPr>
      </w:pPr>
      <w:r w:rsidRPr="00273491">
        <w:rPr>
          <w:rFonts w:ascii="Arial" w:hAnsi="Arial" w:cs="Arial"/>
          <w:sz w:val="20"/>
          <w:szCs w:val="20"/>
        </w:rPr>
        <w:t>Für Rückfragen stehe ich Ihnen gerne zur Verfügung.</w:t>
      </w:r>
    </w:p>
    <w:p w:rsidR="0082147F" w:rsidRPr="00273491" w:rsidRDefault="0082147F" w:rsidP="0082147F">
      <w:pPr>
        <w:jc w:val="both"/>
        <w:rPr>
          <w:rFonts w:ascii="Arial" w:hAnsi="Arial" w:cs="Arial"/>
          <w:sz w:val="20"/>
          <w:szCs w:val="20"/>
        </w:rPr>
      </w:pPr>
    </w:p>
    <w:p w:rsidR="0082147F" w:rsidRPr="00273491" w:rsidRDefault="0082147F" w:rsidP="0082147F">
      <w:pPr>
        <w:jc w:val="both"/>
        <w:rPr>
          <w:rFonts w:ascii="Arial" w:hAnsi="Arial" w:cs="Arial"/>
          <w:sz w:val="20"/>
          <w:szCs w:val="20"/>
        </w:rPr>
      </w:pPr>
    </w:p>
    <w:p w:rsidR="0082147F" w:rsidRPr="00273491" w:rsidRDefault="0082147F" w:rsidP="0082147F">
      <w:pPr>
        <w:jc w:val="both"/>
        <w:rPr>
          <w:rFonts w:ascii="Arial" w:hAnsi="Arial" w:cs="Arial"/>
          <w:sz w:val="20"/>
          <w:szCs w:val="20"/>
        </w:rPr>
      </w:pPr>
      <w:r w:rsidRPr="00273491">
        <w:rPr>
          <w:rFonts w:ascii="Arial" w:hAnsi="Arial" w:cs="Arial"/>
          <w:sz w:val="20"/>
          <w:szCs w:val="20"/>
        </w:rPr>
        <w:t>Michael Henn</w:t>
      </w:r>
    </w:p>
    <w:p w:rsidR="0082147F" w:rsidRPr="00273491" w:rsidRDefault="0082147F" w:rsidP="0082147F">
      <w:pPr>
        <w:jc w:val="both"/>
        <w:rPr>
          <w:rFonts w:ascii="Arial" w:hAnsi="Arial" w:cs="Arial"/>
          <w:sz w:val="20"/>
          <w:szCs w:val="20"/>
        </w:rPr>
      </w:pPr>
      <w:r w:rsidRPr="00273491">
        <w:rPr>
          <w:rFonts w:ascii="Arial" w:hAnsi="Arial" w:cs="Arial"/>
          <w:sz w:val="20"/>
          <w:szCs w:val="20"/>
        </w:rPr>
        <w:t>Rechtsanwalt</w:t>
      </w:r>
    </w:p>
    <w:p w:rsidR="0082147F" w:rsidRPr="00273491" w:rsidRDefault="0082147F" w:rsidP="0082147F">
      <w:pPr>
        <w:jc w:val="both"/>
        <w:rPr>
          <w:rFonts w:ascii="Arial" w:hAnsi="Arial" w:cs="Arial"/>
          <w:sz w:val="20"/>
          <w:szCs w:val="20"/>
        </w:rPr>
      </w:pPr>
      <w:r w:rsidRPr="00273491">
        <w:rPr>
          <w:rFonts w:ascii="Arial" w:hAnsi="Arial" w:cs="Arial"/>
          <w:sz w:val="20"/>
          <w:szCs w:val="20"/>
        </w:rPr>
        <w:t>Fachanwalt für Erbrecht</w:t>
      </w:r>
    </w:p>
    <w:p w:rsidR="0082147F" w:rsidRPr="00273491" w:rsidRDefault="0082147F" w:rsidP="0082147F">
      <w:pPr>
        <w:jc w:val="both"/>
        <w:rPr>
          <w:rFonts w:ascii="Arial" w:hAnsi="Arial" w:cs="Arial"/>
          <w:sz w:val="20"/>
          <w:szCs w:val="20"/>
        </w:rPr>
      </w:pPr>
      <w:r w:rsidRPr="00273491">
        <w:rPr>
          <w:rFonts w:ascii="Arial" w:hAnsi="Arial" w:cs="Arial"/>
          <w:sz w:val="20"/>
          <w:szCs w:val="20"/>
        </w:rPr>
        <w:t xml:space="preserve">Fachanwalt für Arbeitsrecht </w:t>
      </w:r>
    </w:p>
    <w:p w:rsidR="0082147F" w:rsidRPr="00273491" w:rsidRDefault="0082147F" w:rsidP="0082147F">
      <w:pPr>
        <w:jc w:val="both"/>
        <w:rPr>
          <w:rFonts w:ascii="Arial" w:hAnsi="Arial" w:cs="Arial"/>
          <w:sz w:val="20"/>
          <w:szCs w:val="20"/>
        </w:rPr>
      </w:pPr>
      <w:r w:rsidRPr="00273491">
        <w:rPr>
          <w:rFonts w:ascii="Arial" w:hAnsi="Arial" w:cs="Arial"/>
          <w:sz w:val="20"/>
          <w:szCs w:val="20"/>
        </w:rPr>
        <w:t xml:space="preserve">Schriftleiter mittelstandsdepesche </w:t>
      </w:r>
    </w:p>
    <w:p w:rsidR="0082147F" w:rsidRPr="00273491" w:rsidRDefault="0082147F" w:rsidP="0082147F">
      <w:pPr>
        <w:jc w:val="both"/>
        <w:rPr>
          <w:rFonts w:ascii="Arial" w:hAnsi="Arial" w:cs="Arial"/>
          <w:sz w:val="20"/>
          <w:szCs w:val="20"/>
        </w:rPr>
      </w:pPr>
      <w:r w:rsidRPr="00273491">
        <w:rPr>
          <w:rFonts w:ascii="Arial" w:hAnsi="Arial" w:cs="Arial"/>
          <w:sz w:val="20"/>
          <w:szCs w:val="20"/>
        </w:rPr>
        <w:t xml:space="preserve">Rechtsanwälte Dr. </w:t>
      </w:r>
      <w:proofErr w:type="spellStart"/>
      <w:r w:rsidRPr="00273491">
        <w:rPr>
          <w:rFonts w:ascii="Arial" w:hAnsi="Arial" w:cs="Arial"/>
          <w:sz w:val="20"/>
          <w:szCs w:val="20"/>
        </w:rPr>
        <w:t>Gaupp</w:t>
      </w:r>
      <w:proofErr w:type="spellEnd"/>
      <w:r w:rsidRPr="00273491">
        <w:rPr>
          <w:rFonts w:ascii="Arial" w:hAnsi="Arial" w:cs="Arial"/>
          <w:sz w:val="20"/>
          <w:szCs w:val="20"/>
        </w:rPr>
        <w:t xml:space="preserve"> &amp; </w:t>
      </w:r>
      <w:proofErr w:type="spellStart"/>
      <w:r w:rsidRPr="00273491">
        <w:rPr>
          <w:rFonts w:ascii="Arial" w:hAnsi="Arial" w:cs="Arial"/>
          <w:sz w:val="20"/>
          <w:szCs w:val="20"/>
        </w:rPr>
        <w:t>Coll</w:t>
      </w:r>
      <w:proofErr w:type="spellEnd"/>
      <w:r w:rsidRPr="00273491">
        <w:rPr>
          <w:rFonts w:ascii="Arial" w:hAnsi="Arial" w:cs="Arial"/>
          <w:sz w:val="20"/>
          <w:szCs w:val="20"/>
        </w:rPr>
        <w:t>.</w:t>
      </w:r>
    </w:p>
    <w:p w:rsidR="0082147F" w:rsidRPr="00273491" w:rsidRDefault="0082147F" w:rsidP="0082147F">
      <w:pPr>
        <w:jc w:val="both"/>
        <w:rPr>
          <w:rFonts w:ascii="Arial" w:hAnsi="Arial" w:cs="Arial"/>
          <w:sz w:val="20"/>
          <w:szCs w:val="20"/>
        </w:rPr>
      </w:pPr>
      <w:r w:rsidRPr="00273491">
        <w:rPr>
          <w:rFonts w:ascii="Arial" w:hAnsi="Arial" w:cs="Arial"/>
          <w:sz w:val="20"/>
          <w:szCs w:val="20"/>
        </w:rPr>
        <w:t xml:space="preserve">Kronprinzstr. 14 </w:t>
      </w:r>
    </w:p>
    <w:p w:rsidR="0082147F" w:rsidRPr="00273491" w:rsidRDefault="0082147F" w:rsidP="0082147F">
      <w:pPr>
        <w:jc w:val="both"/>
        <w:rPr>
          <w:rFonts w:ascii="Arial" w:hAnsi="Arial" w:cs="Arial"/>
          <w:sz w:val="20"/>
          <w:szCs w:val="20"/>
        </w:rPr>
      </w:pPr>
      <w:r w:rsidRPr="00273491">
        <w:rPr>
          <w:rFonts w:ascii="Arial" w:hAnsi="Arial" w:cs="Arial"/>
          <w:sz w:val="20"/>
          <w:szCs w:val="20"/>
        </w:rPr>
        <w:t>70173 Stuttgart</w:t>
      </w:r>
    </w:p>
    <w:p w:rsidR="0082147F" w:rsidRPr="00273491" w:rsidRDefault="0082147F" w:rsidP="0082147F">
      <w:pPr>
        <w:jc w:val="both"/>
        <w:rPr>
          <w:rFonts w:ascii="Arial" w:hAnsi="Arial" w:cs="Arial"/>
          <w:sz w:val="20"/>
          <w:szCs w:val="20"/>
        </w:rPr>
      </w:pPr>
      <w:r w:rsidRPr="00273491">
        <w:rPr>
          <w:rFonts w:ascii="Arial" w:hAnsi="Arial" w:cs="Arial"/>
          <w:sz w:val="20"/>
          <w:szCs w:val="20"/>
        </w:rPr>
        <w:t>Tel.: 0711/ 30 58 93-0</w:t>
      </w:r>
      <w:r w:rsidRPr="00273491">
        <w:rPr>
          <w:rFonts w:ascii="Arial" w:hAnsi="Arial" w:cs="Arial"/>
          <w:sz w:val="20"/>
          <w:szCs w:val="20"/>
        </w:rPr>
        <w:tab/>
      </w:r>
      <w:r w:rsidRPr="00273491">
        <w:rPr>
          <w:rFonts w:ascii="Arial" w:hAnsi="Arial" w:cs="Arial"/>
          <w:sz w:val="20"/>
          <w:szCs w:val="20"/>
        </w:rPr>
        <w:tab/>
        <w:t>Fax: 0711/ 30 58 93-11</w:t>
      </w:r>
    </w:p>
    <w:p w:rsidR="0082147F" w:rsidRPr="00273491" w:rsidRDefault="0082147F" w:rsidP="0082147F">
      <w:pPr>
        <w:jc w:val="both"/>
        <w:rPr>
          <w:rFonts w:ascii="Arial" w:hAnsi="Arial" w:cs="Arial"/>
          <w:sz w:val="20"/>
          <w:szCs w:val="20"/>
        </w:rPr>
      </w:pPr>
      <w:r w:rsidRPr="00273491">
        <w:rPr>
          <w:rFonts w:ascii="Arial" w:hAnsi="Arial" w:cs="Arial"/>
          <w:sz w:val="20"/>
          <w:szCs w:val="20"/>
        </w:rPr>
        <w:t xml:space="preserve">E-Mail: </w:t>
      </w:r>
      <w:hyperlink r:id="rId7" w:history="1">
        <w:r w:rsidRPr="00273491">
          <w:rPr>
            <w:rFonts w:ascii="Arial" w:hAnsi="Arial" w:cs="Arial"/>
            <w:color w:val="0563C1"/>
            <w:sz w:val="20"/>
            <w:szCs w:val="20"/>
            <w:u w:val="single"/>
          </w:rPr>
          <w:t>henn@drgaupp.de</w:t>
        </w:r>
      </w:hyperlink>
      <w:r w:rsidRPr="00273491">
        <w:rPr>
          <w:rFonts w:ascii="Arial" w:hAnsi="Arial" w:cs="Arial"/>
          <w:sz w:val="20"/>
          <w:szCs w:val="20"/>
        </w:rPr>
        <w:tab/>
      </w:r>
      <w:hyperlink r:id="rId8" w:history="1">
        <w:r w:rsidRPr="00273491">
          <w:rPr>
            <w:rFonts w:ascii="Arial" w:hAnsi="Arial" w:cs="Arial"/>
            <w:color w:val="0563C1"/>
            <w:sz w:val="20"/>
            <w:szCs w:val="20"/>
            <w:u w:val="single"/>
          </w:rPr>
          <w:t>www.drgaupp.de</w:t>
        </w:r>
      </w:hyperlink>
    </w:p>
    <w:p w:rsidR="0082147F" w:rsidRPr="00273491" w:rsidRDefault="0082147F" w:rsidP="0082147F">
      <w:pPr>
        <w:jc w:val="both"/>
        <w:rPr>
          <w:rFonts w:ascii="Arial" w:hAnsi="Arial" w:cs="Arial"/>
          <w:sz w:val="20"/>
          <w:szCs w:val="22"/>
          <w:lang w:eastAsia="en-US"/>
        </w:rPr>
      </w:pPr>
    </w:p>
    <w:p w:rsidR="0082147F" w:rsidRDefault="0082147F" w:rsidP="002C7F74">
      <w:pPr>
        <w:rPr>
          <w:rFonts w:ascii="Arial" w:hAnsi="Arial" w:cs="Arial"/>
          <w:sz w:val="20"/>
        </w:rPr>
      </w:pPr>
    </w:p>
    <w:sectPr w:rsidR="0082147F">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E59" w:rsidRDefault="00B87E59" w:rsidP="00B87E59">
      <w:r>
        <w:separator/>
      </w:r>
    </w:p>
  </w:endnote>
  <w:endnote w:type="continuationSeparator" w:id="0">
    <w:p w:rsidR="00B87E59" w:rsidRDefault="00B87E59" w:rsidP="00B8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E59" w:rsidRDefault="00B87E59" w:rsidP="00B87E59">
      <w:r>
        <w:separator/>
      </w:r>
    </w:p>
  </w:footnote>
  <w:footnote w:type="continuationSeparator" w:id="0">
    <w:p w:rsidR="00B87E59" w:rsidRDefault="00B87E59" w:rsidP="00B87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E59" w:rsidRPr="00AE0C6B" w:rsidRDefault="00B87E59" w:rsidP="00B87E59">
    <w:pPr>
      <w:tabs>
        <w:tab w:val="center" w:pos="4819"/>
        <w:tab w:val="right" w:pos="9071"/>
      </w:tabs>
      <w:jc w:val="center"/>
      <w:rPr>
        <w:rFonts w:ascii="Arial" w:hAnsi="Arial" w:cs="Arial"/>
        <w:sz w:val="22"/>
        <w:szCs w:val="20"/>
        <w:lang w:eastAsia="en-US"/>
      </w:rPr>
    </w:pPr>
    <w:r w:rsidRPr="00AE0C6B">
      <w:rPr>
        <w:rFonts w:ascii="Arial" w:hAnsi="Arial" w:cs="Arial"/>
        <w:b/>
        <w:bCs/>
        <w:sz w:val="28"/>
        <w:szCs w:val="28"/>
        <w:lang w:eastAsia="en-US"/>
      </w:rPr>
      <w:t>mittelstandsdepesche 0</w:t>
    </w:r>
    <w:r>
      <w:rPr>
        <w:rFonts w:ascii="Arial" w:hAnsi="Arial" w:cs="Arial"/>
        <w:b/>
        <w:bCs/>
        <w:sz w:val="28"/>
        <w:szCs w:val="28"/>
        <w:lang w:eastAsia="en-US"/>
      </w:rPr>
      <w:t>5</w:t>
    </w:r>
    <w:r w:rsidRPr="00AE0C6B">
      <w:rPr>
        <w:rFonts w:ascii="Arial" w:hAnsi="Arial" w:cs="Arial"/>
        <w:b/>
        <w:bCs/>
        <w:sz w:val="28"/>
        <w:szCs w:val="28"/>
        <w:lang w:eastAsia="en-US"/>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77B07"/>
    <w:multiLevelType w:val="hybridMultilevel"/>
    <w:tmpl w:val="3FB44FCE"/>
    <w:lvl w:ilvl="0" w:tplc="04070017">
      <w:start w:val="1"/>
      <w:numFmt w:val="lowerLetter"/>
      <w:lvlText w:val="%1)"/>
      <w:lvlJc w:val="left"/>
      <w:pPr>
        <w:ind w:left="720" w:hanging="360"/>
      </w:pPr>
      <w:rPr>
        <w:b w:val="0"/>
        <w:strike w:val="0"/>
        <w:dstrike w:val="0"/>
        <w:u w:val="none"/>
        <w:effect w:val="non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4BD56A74"/>
    <w:multiLevelType w:val="hybridMultilevel"/>
    <w:tmpl w:val="2B4A38D8"/>
    <w:lvl w:ilvl="0" w:tplc="FE220026">
      <w:start w:val="1"/>
      <w:numFmt w:val="lowerLetter"/>
      <w:lvlText w:val="%1)"/>
      <w:lvlJc w:val="left"/>
      <w:pPr>
        <w:ind w:left="720" w:hanging="360"/>
      </w:pPr>
      <w:rPr>
        <w:rFonts w:ascii="Arial" w:hAnsi="Arial" w:cs="Arial" w:hint="default"/>
        <w:sz w:val="2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49B7D26"/>
    <w:multiLevelType w:val="multilevel"/>
    <w:tmpl w:val="CE40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D50D13"/>
    <w:multiLevelType w:val="multilevel"/>
    <w:tmpl w:val="797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A3B44"/>
    <w:multiLevelType w:val="multilevel"/>
    <w:tmpl w:val="A926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E7"/>
    <w:rsid w:val="002C7F74"/>
    <w:rsid w:val="007337E7"/>
    <w:rsid w:val="0082147F"/>
    <w:rsid w:val="008D6C54"/>
    <w:rsid w:val="00932100"/>
    <w:rsid w:val="009C0973"/>
    <w:rsid w:val="00AB4F20"/>
    <w:rsid w:val="00B87E59"/>
    <w:rsid w:val="00C551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77AEC-C027-4678-8E63-A891E589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337E7"/>
    <w:pPr>
      <w:spacing w:after="0" w:line="240" w:lineRule="auto"/>
    </w:pPr>
    <w:rPr>
      <w:rFonts w:ascii="Times New Roman" w:hAnsi="Times New Roman" w:cs="Times New Roman"/>
      <w:sz w:val="24"/>
      <w:szCs w:val="24"/>
      <w:lang w:eastAsia="de-DE"/>
    </w:rPr>
  </w:style>
  <w:style w:type="paragraph" w:styleId="berschrift2">
    <w:name w:val="heading 2"/>
    <w:basedOn w:val="Standard"/>
    <w:next w:val="Standard"/>
    <w:link w:val="berschrift2Zchn"/>
    <w:uiPriority w:val="9"/>
    <w:semiHidden/>
    <w:unhideWhenUsed/>
    <w:qFormat/>
    <w:rsid w:val="00AB4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semiHidden/>
    <w:unhideWhenUsed/>
    <w:qFormat/>
    <w:rsid w:val="007337E7"/>
    <w:pPr>
      <w:spacing w:after="75" w:line="240" w:lineRule="atLeast"/>
      <w:outlineLvl w:val="2"/>
    </w:pPr>
    <w:rPr>
      <w:b/>
      <w:bCs/>
    </w:rPr>
  </w:style>
  <w:style w:type="paragraph" w:styleId="berschrift4">
    <w:name w:val="heading 4"/>
    <w:basedOn w:val="Standard"/>
    <w:link w:val="berschrift4Zchn"/>
    <w:uiPriority w:val="9"/>
    <w:semiHidden/>
    <w:unhideWhenUsed/>
    <w:qFormat/>
    <w:rsid w:val="007337E7"/>
    <w:pPr>
      <w:spacing w:after="150"/>
      <w:outlineLvl w:val="3"/>
    </w:pPr>
    <w:rPr>
      <w:color w:val="666666"/>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7337E7"/>
    <w:rPr>
      <w:rFonts w:ascii="Times New Roman" w:hAnsi="Times New Roman" w:cs="Times New Roman"/>
      <w:b/>
      <w:bCs/>
      <w:sz w:val="24"/>
      <w:szCs w:val="24"/>
      <w:lang w:eastAsia="de-DE"/>
    </w:rPr>
  </w:style>
  <w:style w:type="character" w:customStyle="1" w:styleId="berschrift4Zchn">
    <w:name w:val="Überschrift 4 Zchn"/>
    <w:basedOn w:val="Absatz-Standardschriftart"/>
    <w:link w:val="berschrift4"/>
    <w:uiPriority w:val="9"/>
    <w:semiHidden/>
    <w:rsid w:val="007337E7"/>
    <w:rPr>
      <w:rFonts w:ascii="Times New Roman" w:hAnsi="Times New Roman" w:cs="Times New Roman"/>
      <w:color w:val="666666"/>
      <w:sz w:val="21"/>
      <w:szCs w:val="21"/>
      <w:lang w:eastAsia="de-DE"/>
    </w:rPr>
  </w:style>
  <w:style w:type="paragraph" w:styleId="Listenabsatz">
    <w:name w:val="List Paragraph"/>
    <w:basedOn w:val="Standard"/>
    <w:uiPriority w:val="34"/>
    <w:qFormat/>
    <w:rsid w:val="002C7F74"/>
    <w:pPr>
      <w:ind w:left="720"/>
      <w:contextualSpacing/>
    </w:pPr>
  </w:style>
  <w:style w:type="paragraph" w:styleId="Kopfzeile">
    <w:name w:val="header"/>
    <w:basedOn w:val="Standard"/>
    <w:link w:val="KopfzeileZchn"/>
    <w:uiPriority w:val="99"/>
    <w:unhideWhenUsed/>
    <w:rsid w:val="00B87E59"/>
    <w:pPr>
      <w:tabs>
        <w:tab w:val="center" w:pos="4536"/>
        <w:tab w:val="right" w:pos="9072"/>
      </w:tabs>
    </w:pPr>
  </w:style>
  <w:style w:type="character" w:customStyle="1" w:styleId="KopfzeileZchn">
    <w:name w:val="Kopfzeile Zchn"/>
    <w:basedOn w:val="Absatz-Standardschriftart"/>
    <w:link w:val="Kopfzeile"/>
    <w:uiPriority w:val="99"/>
    <w:rsid w:val="00B87E59"/>
    <w:rPr>
      <w:rFonts w:ascii="Times New Roman" w:hAnsi="Times New Roman" w:cs="Times New Roman"/>
      <w:sz w:val="24"/>
      <w:szCs w:val="24"/>
      <w:lang w:eastAsia="de-DE"/>
    </w:rPr>
  </w:style>
  <w:style w:type="paragraph" w:styleId="Fuzeile">
    <w:name w:val="footer"/>
    <w:basedOn w:val="Standard"/>
    <w:link w:val="FuzeileZchn"/>
    <w:uiPriority w:val="99"/>
    <w:unhideWhenUsed/>
    <w:rsid w:val="00B87E59"/>
    <w:pPr>
      <w:tabs>
        <w:tab w:val="center" w:pos="4536"/>
        <w:tab w:val="right" w:pos="9072"/>
      </w:tabs>
    </w:pPr>
  </w:style>
  <w:style w:type="character" w:customStyle="1" w:styleId="FuzeileZchn">
    <w:name w:val="Fußzeile Zchn"/>
    <w:basedOn w:val="Absatz-Standardschriftart"/>
    <w:link w:val="Fuzeile"/>
    <w:uiPriority w:val="99"/>
    <w:rsid w:val="00B87E59"/>
    <w:rPr>
      <w:rFonts w:ascii="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AB4F20"/>
    <w:rPr>
      <w:rFonts w:asciiTheme="majorHAnsi" w:eastAsiaTheme="majorEastAsia" w:hAnsiTheme="majorHAnsi" w:cstheme="majorBidi"/>
      <w:color w:val="2E74B5" w:themeColor="accent1" w:themeShade="BF"/>
      <w:sz w:val="26"/>
      <w:szCs w:val="26"/>
      <w:lang w:eastAsia="de-DE"/>
    </w:rPr>
  </w:style>
  <w:style w:type="character" w:styleId="Fett">
    <w:name w:val="Strong"/>
    <w:basedOn w:val="Absatz-Standardschriftart"/>
    <w:uiPriority w:val="22"/>
    <w:qFormat/>
    <w:rsid w:val="00AB4F20"/>
    <w:rPr>
      <w:b/>
      <w:bCs/>
    </w:rPr>
  </w:style>
  <w:style w:type="character" w:styleId="Hyperlink">
    <w:name w:val="Hyperlink"/>
    <w:basedOn w:val="Absatz-Standardschriftart"/>
    <w:uiPriority w:val="99"/>
    <w:unhideWhenUsed/>
    <w:rsid w:val="00AB4F20"/>
    <w:rPr>
      <w:color w:val="0000FF"/>
      <w:u w:val="single"/>
    </w:rPr>
  </w:style>
  <w:style w:type="character" w:customStyle="1" w:styleId="doclink">
    <w:name w:val="doclink"/>
    <w:basedOn w:val="Absatz-Standardschriftart"/>
    <w:rsid w:val="00AB4F20"/>
  </w:style>
  <w:style w:type="paragraph" w:styleId="StandardWeb">
    <w:name w:val="Normal (Web)"/>
    <w:basedOn w:val="Standard"/>
    <w:uiPriority w:val="99"/>
    <w:semiHidden/>
    <w:unhideWhenUsed/>
    <w:rsid w:val="00AB4F2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006486">
      <w:bodyDiv w:val="1"/>
      <w:marLeft w:val="0"/>
      <w:marRight w:val="0"/>
      <w:marTop w:val="0"/>
      <w:marBottom w:val="0"/>
      <w:divBdr>
        <w:top w:val="none" w:sz="0" w:space="0" w:color="auto"/>
        <w:left w:val="none" w:sz="0" w:space="0" w:color="auto"/>
        <w:bottom w:val="none" w:sz="0" w:space="0" w:color="auto"/>
        <w:right w:val="none" w:sz="0" w:space="0" w:color="auto"/>
      </w:divBdr>
    </w:div>
    <w:div w:id="421756331">
      <w:bodyDiv w:val="1"/>
      <w:marLeft w:val="0"/>
      <w:marRight w:val="0"/>
      <w:marTop w:val="0"/>
      <w:marBottom w:val="0"/>
      <w:divBdr>
        <w:top w:val="none" w:sz="0" w:space="0" w:color="auto"/>
        <w:left w:val="none" w:sz="0" w:space="0" w:color="auto"/>
        <w:bottom w:val="none" w:sz="0" w:space="0" w:color="auto"/>
        <w:right w:val="none" w:sz="0" w:space="0" w:color="auto"/>
      </w:divBdr>
      <w:divsChild>
        <w:div w:id="736172193">
          <w:marLeft w:val="0"/>
          <w:marRight w:val="0"/>
          <w:marTop w:val="0"/>
          <w:marBottom w:val="0"/>
          <w:divBdr>
            <w:top w:val="none" w:sz="0" w:space="0" w:color="auto"/>
            <w:left w:val="none" w:sz="0" w:space="0" w:color="auto"/>
            <w:bottom w:val="none" w:sz="0" w:space="0" w:color="auto"/>
            <w:right w:val="none" w:sz="0" w:space="0" w:color="auto"/>
          </w:divBdr>
          <w:divsChild>
            <w:div w:id="214047116">
              <w:marLeft w:val="0"/>
              <w:marRight w:val="0"/>
              <w:marTop w:val="0"/>
              <w:marBottom w:val="0"/>
              <w:divBdr>
                <w:top w:val="none" w:sz="0" w:space="0" w:color="auto"/>
                <w:left w:val="none" w:sz="0" w:space="0" w:color="auto"/>
                <w:bottom w:val="none" w:sz="0" w:space="0" w:color="auto"/>
                <w:right w:val="none" w:sz="0" w:space="0" w:color="auto"/>
              </w:divBdr>
              <w:divsChild>
                <w:div w:id="449933210">
                  <w:marLeft w:val="0"/>
                  <w:marRight w:val="0"/>
                  <w:marTop w:val="0"/>
                  <w:marBottom w:val="0"/>
                  <w:divBdr>
                    <w:top w:val="none" w:sz="0" w:space="0" w:color="auto"/>
                    <w:left w:val="none" w:sz="0" w:space="0" w:color="auto"/>
                    <w:bottom w:val="none" w:sz="0" w:space="0" w:color="auto"/>
                    <w:right w:val="none" w:sz="0" w:space="0" w:color="auto"/>
                  </w:divBdr>
                  <w:divsChild>
                    <w:div w:id="911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50897">
          <w:marLeft w:val="0"/>
          <w:marRight w:val="0"/>
          <w:marTop w:val="0"/>
          <w:marBottom w:val="0"/>
          <w:divBdr>
            <w:top w:val="none" w:sz="0" w:space="0" w:color="auto"/>
            <w:left w:val="none" w:sz="0" w:space="0" w:color="auto"/>
            <w:bottom w:val="none" w:sz="0" w:space="0" w:color="auto"/>
            <w:right w:val="none" w:sz="0" w:space="0" w:color="auto"/>
          </w:divBdr>
        </w:div>
        <w:div w:id="1637253083">
          <w:marLeft w:val="0"/>
          <w:marRight w:val="0"/>
          <w:marTop w:val="0"/>
          <w:marBottom w:val="0"/>
          <w:divBdr>
            <w:top w:val="none" w:sz="0" w:space="0" w:color="auto"/>
            <w:left w:val="none" w:sz="0" w:space="0" w:color="auto"/>
            <w:bottom w:val="none" w:sz="0" w:space="0" w:color="auto"/>
            <w:right w:val="none" w:sz="0" w:space="0" w:color="auto"/>
          </w:divBdr>
          <w:divsChild>
            <w:div w:id="1770470841">
              <w:marLeft w:val="0"/>
              <w:marRight w:val="0"/>
              <w:marTop w:val="0"/>
              <w:marBottom w:val="0"/>
              <w:divBdr>
                <w:top w:val="none" w:sz="0" w:space="0" w:color="auto"/>
                <w:left w:val="none" w:sz="0" w:space="0" w:color="auto"/>
                <w:bottom w:val="none" w:sz="0" w:space="0" w:color="auto"/>
                <w:right w:val="none" w:sz="0" w:space="0" w:color="auto"/>
              </w:divBdr>
              <w:divsChild>
                <w:div w:id="1385370361">
                  <w:marLeft w:val="-300"/>
                  <w:marRight w:val="0"/>
                  <w:marTop w:val="60"/>
                  <w:marBottom w:val="0"/>
                  <w:divBdr>
                    <w:top w:val="none" w:sz="0" w:space="0" w:color="auto"/>
                    <w:left w:val="none" w:sz="0" w:space="0" w:color="auto"/>
                    <w:bottom w:val="none" w:sz="0" w:space="0" w:color="auto"/>
                    <w:right w:val="none" w:sz="0" w:space="0" w:color="auto"/>
                  </w:divBdr>
                </w:div>
              </w:divsChild>
            </w:div>
            <w:div w:id="1713572794">
              <w:marLeft w:val="0"/>
              <w:marRight w:val="0"/>
              <w:marTop w:val="0"/>
              <w:marBottom w:val="0"/>
              <w:divBdr>
                <w:top w:val="none" w:sz="0" w:space="0" w:color="auto"/>
                <w:left w:val="none" w:sz="0" w:space="0" w:color="auto"/>
                <w:bottom w:val="none" w:sz="0" w:space="0" w:color="auto"/>
                <w:right w:val="none" w:sz="0" w:space="0" w:color="auto"/>
              </w:divBdr>
              <w:divsChild>
                <w:div w:id="2096783108">
                  <w:marLeft w:val="0"/>
                  <w:marRight w:val="0"/>
                  <w:marTop w:val="0"/>
                  <w:marBottom w:val="0"/>
                  <w:divBdr>
                    <w:top w:val="none" w:sz="0" w:space="0" w:color="auto"/>
                    <w:left w:val="none" w:sz="0" w:space="0" w:color="auto"/>
                    <w:bottom w:val="none" w:sz="0" w:space="0" w:color="auto"/>
                    <w:right w:val="none" w:sz="0" w:space="0" w:color="auto"/>
                  </w:divBdr>
                </w:div>
                <w:div w:id="914242877">
                  <w:marLeft w:val="0"/>
                  <w:marRight w:val="0"/>
                  <w:marTop w:val="0"/>
                  <w:marBottom w:val="0"/>
                  <w:divBdr>
                    <w:top w:val="none" w:sz="0" w:space="0" w:color="auto"/>
                    <w:left w:val="none" w:sz="0" w:space="0" w:color="auto"/>
                    <w:bottom w:val="none" w:sz="0" w:space="0" w:color="auto"/>
                    <w:right w:val="none" w:sz="0" w:space="0" w:color="auto"/>
                  </w:divBdr>
                  <w:divsChild>
                    <w:div w:id="12230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409061">
      <w:bodyDiv w:val="1"/>
      <w:marLeft w:val="0"/>
      <w:marRight w:val="0"/>
      <w:marTop w:val="0"/>
      <w:marBottom w:val="0"/>
      <w:divBdr>
        <w:top w:val="none" w:sz="0" w:space="0" w:color="auto"/>
        <w:left w:val="none" w:sz="0" w:space="0" w:color="auto"/>
        <w:bottom w:val="none" w:sz="0" w:space="0" w:color="auto"/>
        <w:right w:val="none" w:sz="0" w:space="0" w:color="auto"/>
      </w:divBdr>
    </w:div>
    <w:div w:id="704063168">
      <w:bodyDiv w:val="1"/>
      <w:marLeft w:val="0"/>
      <w:marRight w:val="0"/>
      <w:marTop w:val="0"/>
      <w:marBottom w:val="0"/>
      <w:divBdr>
        <w:top w:val="none" w:sz="0" w:space="0" w:color="auto"/>
        <w:left w:val="none" w:sz="0" w:space="0" w:color="auto"/>
        <w:bottom w:val="none" w:sz="0" w:space="0" w:color="auto"/>
        <w:right w:val="none" w:sz="0" w:space="0" w:color="auto"/>
      </w:divBdr>
      <w:divsChild>
        <w:div w:id="2007129451">
          <w:marLeft w:val="0"/>
          <w:marRight w:val="0"/>
          <w:marTop w:val="0"/>
          <w:marBottom w:val="0"/>
          <w:divBdr>
            <w:top w:val="none" w:sz="0" w:space="0" w:color="auto"/>
            <w:left w:val="none" w:sz="0" w:space="0" w:color="auto"/>
            <w:bottom w:val="none" w:sz="0" w:space="0" w:color="auto"/>
            <w:right w:val="none" w:sz="0" w:space="0" w:color="auto"/>
          </w:divBdr>
          <w:divsChild>
            <w:div w:id="337580340">
              <w:marLeft w:val="0"/>
              <w:marRight w:val="0"/>
              <w:marTop w:val="0"/>
              <w:marBottom w:val="0"/>
              <w:divBdr>
                <w:top w:val="none" w:sz="0" w:space="0" w:color="auto"/>
                <w:left w:val="none" w:sz="0" w:space="0" w:color="auto"/>
                <w:bottom w:val="none" w:sz="0" w:space="0" w:color="auto"/>
                <w:right w:val="none" w:sz="0" w:space="0" w:color="auto"/>
              </w:divBdr>
              <w:divsChild>
                <w:div w:id="2141804043">
                  <w:marLeft w:val="0"/>
                  <w:marRight w:val="0"/>
                  <w:marTop w:val="0"/>
                  <w:marBottom w:val="0"/>
                  <w:divBdr>
                    <w:top w:val="none" w:sz="0" w:space="0" w:color="auto"/>
                    <w:left w:val="none" w:sz="0" w:space="0" w:color="auto"/>
                    <w:bottom w:val="none" w:sz="0" w:space="0" w:color="auto"/>
                    <w:right w:val="none" w:sz="0" w:space="0" w:color="auto"/>
                  </w:divBdr>
                  <w:divsChild>
                    <w:div w:id="13474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18196">
          <w:marLeft w:val="0"/>
          <w:marRight w:val="0"/>
          <w:marTop w:val="0"/>
          <w:marBottom w:val="0"/>
          <w:divBdr>
            <w:top w:val="none" w:sz="0" w:space="0" w:color="auto"/>
            <w:left w:val="none" w:sz="0" w:space="0" w:color="auto"/>
            <w:bottom w:val="none" w:sz="0" w:space="0" w:color="auto"/>
            <w:right w:val="none" w:sz="0" w:space="0" w:color="auto"/>
          </w:divBdr>
        </w:div>
        <w:div w:id="1932615594">
          <w:marLeft w:val="0"/>
          <w:marRight w:val="0"/>
          <w:marTop w:val="0"/>
          <w:marBottom w:val="0"/>
          <w:divBdr>
            <w:top w:val="none" w:sz="0" w:space="0" w:color="auto"/>
            <w:left w:val="none" w:sz="0" w:space="0" w:color="auto"/>
            <w:bottom w:val="none" w:sz="0" w:space="0" w:color="auto"/>
            <w:right w:val="none" w:sz="0" w:space="0" w:color="auto"/>
          </w:divBdr>
          <w:divsChild>
            <w:div w:id="1701932496">
              <w:marLeft w:val="0"/>
              <w:marRight w:val="0"/>
              <w:marTop w:val="0"/>
              <w:marBottom w:val="0"/>
              <w:divBdr>
                <w:top w:val="none" w:sz="0" w:space="0" w:color="auto"/>
                <w:left w:val="none" w:sz="0" w:space="0" w:color="auto"/>
                <w:bottom w:val="none" w:sz="0" w:space="0" w:color="auto"/>
                <w:right w:val="none" w:sz="0" w:space="0" w:color="auto"/>
              </w:divBdr>
              <w:divsChild>
                <w:div w:id="509830576">
                  <w:marLeft w:val="0"/>
                  <w:marRight w:val="0"/>
                  <w:marTop w:val="0"/>
                  <w:marBottom w:val="0"/>
                  <w:divBdr>
                    <w:top w:val="none" w:sz="0" w:space="0" w:color="auto"/>
                    <w:left w:val="none" w:sz="0" w:space="0" w:color="auto"/>
                    <w:bottom w:val="none" w:sz="0" w:space="0" w:color="auto"/>
                    <w:right w:val="none" w:sz="0" w:space="0" w:color="auto"/>
                  </w:divBdr>
                </w:div>
                <w:div w:id="2090150971">
                  <w:marLeft w:val="0"/>
                  <w:marRight w:val="0"/>
                  <w:marTop w:val="0"/>
                  <w:marBottom w:val="0"/>
                  <w:divBdr>
                    <w:top w:val="none" w:sz="0" w:space="0" w:color="auto"/>
                    <w:left w:val="none" w:sz="0" w:space="0" w:color="auto"/>
                    <w:bottom w:val="none" w:sz="0" w:space="0" w:color="auto"/>
                    <w:right w:val="none" w:sz="0" w:space="0" w:color="auto"/>
                  </w:divBdr>
                  <w:divsChild>
                    <w:div w:id="6118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5312">
      <w:bodyDiv w:val="1"/>
      <w:marLeft w:val="0"/>
      <w:marRight w:val="0"/>
      <w:marTop w:val="0"/>
      <w:marBottom w:val="0"/>
      <w:divBdr>
        <w:top w:val="none" w:sz="0" w:space="0" w:color="auto"/>
        <w:left w:val="none" w:sz="0" w:space="0" w:color="auto"/>
        <w:bottom w:val="none" w:sz="0" w:space="0" w:color="auto"/>
        <w:right w:val="none" w:sz="0" w:space="0" w:color="auto"/>
      </w:divBdr>
    </w:div>
    <w:div w:id="1315597244">
      <w:bodyDiv w:val="1"/>
      <w:marLeft w:val="0"/>
      <w:marRight w:val="0"/>
      <w:marTop w:val="0"/>
      <w:marBottom w:val="0"/>
      <w:divBdr>
        <w:top w:val="none" w:sz="0" w:space="0" w:color="auto"/>
        <w:left w:val="none" w:sz="0" w:space="0" w:color="auto"/>
        <w:bottom w:val="none" w:sz="0" w:space="0" w:color="auto"/>
        <w:right w:val="none" w:sz="0" w:space="0" w:color="auto"/>
      </w:divBdr>
    </w:div>
    <w:div w:id="1656953681">
      <w:bodyDiv w:val="1"/>
      <w:marLeft w:val="0"/>
      <w:marRight w:val="0"/>
      <w:marTop w:val="0"/>
      <w:marBottom w:val="0"/>
      <w:divBdr>
        <w:top w:val="none" w:sz="0" w:space="0" w:color="auto"/>
        <w:left w:val="none" w:sz="0" w:space="0" w:color="auto"/>
        <w:bottom w:val="none" w:sz="0" w:space="0" w:color="auto"/>
        <w:right w:val="none" w:sz="0" w:space="0" w:color="auto"/>
      </w:divBdr>
    </w:div>
    <w:div w:id="1673293670">
      <w:bodyDiv w:val="1"/>
      <w:marLeft w:val="0"/>
      <w:marRight w:val="0"/>
      <w:marTop w:val="0"/>
      <w:marBottom w:val="0"/>
      <w:divBdr>
        <w:top w:val="none" w:sz="0" w:space="0" w:color="auto"/>
        <w:left w:val="none" w:sz="0" w:space="0" w:color="auto"/>
        <w:bottom w:val="none" w:sz="0" w:space="0" w:color="auto"/>
        <w:right w:val="none" w:sz="0" w:space="0" w:color="auto"/>
      </w:divBdr>
    </w:div>
    <w:div w:id="1681851048">
      <w:bodyDiv w:val="1"/>
      <w:marLeft w:val="0"/>
      <w:marRight w:val="0"/>
      <w:marTop w:val="0"/>
      <w:marBottom w:val="0"/>
      <w:divBdr>
        <w:top w:val="none" w:sz="0" w:space="0" w:color="auto"/>
        <w:left w:val="none" w:sz="0" w:space="0" w:color="auto"/>
        <w:bottom w:val="none" w:sz="0" w:space="0" w:color="auto"/>
        <w:right w:val="none" w:sz="0" w:space="0" w:color="auto"/>
      </w:divBdr>
      <w:divsChild>
        <w:div w:id="616721065">
          <w:marLeft w:val="0"/>
          <w:marRight w:val="0"/>
          <w:marTop w:val="0"/>
          <w:marBottom w:val="0"/>
          <w:divBdr>
            <w:top w:val="none" w:sz="0" w:space="0" w:color="auto"/>
            <w:left w:val="none" w:sz="0" w:space="0" w:color="auto"/>
            <w:bottom w:val="none" w:sz="0" w:space="0" w:color="auto"/>
            <w:right w:val="none" w:sz="0" w:space="0" w:color="auto"/>
          </w:divBdr>
          <w:divsChild>
            <w:div w:id="1292249552">
              <w:marLeft w:val="0"/>
              <w:marRight w:val="0"/>
              <w:marTop w:val="0"/>
              <w:marBottom w:val="0"/>
              <w:divBdr>
                <w:top w:val="none" w:sz="0" w:space="0" w:color="auto"/>
                <w:left w:val="none" w:sz="0" w:space="0" w:color="auto"/>
                <w:bottom w:val="none" w:sz="0" w:space="0" w:color="auto"/>
                <w:right w:val="none" w:sz="0" w:space="0" w:color="auto"/>
              </w:divBdr>
              <w:divsChild>
                <w:div w:id="1235117048">
                  <w:marLeft w:val="0"/>
                  <w:marRight w:val="0"/>
                  <w:marTop w:val="0"/>
                  <w:marBottom w:val="0"/>
                  <w:divBdr>
                    <w:top w:val="none" w:sz="0" w:space="0" w:color="auto"/>
                    <w:left w:val="none" w:sz="0" w:space="0" w:color="auto"/>
                    <w:bottom w:val="none" w:sz="0" w:space="0" w:color="auto"/>
                    <w:right w:val="none" w:sz="0" w:space="0" w:color="auto"/>
                  </w:divBdr>
                  <w:divsChild>
                    <w:div w:id="380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79454">
          <w:marLeft w:val="0"/>
          <w:marRight w:val="0"/>
          <w:marTop w:val="0"/>
          <w:marBottom w:val="0"/>
          <w:divBdr>
            <w:top w:val="none" w:sz="0" w:space="0" w:color="auto"/>
            <w:left w:val="none" w:sz="0" w:space="0" w:color="auto"/>
            <w:bottom w:val="none" w:sz="0" w:space="0" w:color="auto"/>
            <w:right w:val="none" w:sz="0" w:space="0" w:color="auto"/>
          </w:divBdr>
        </w:div>
        <w:div w:id="957298831">
          <w:marLeft w:val="0"/>
          <w:marRight w:val="0"/>
          <w:marTop w:val="0"/>
          <w:marBottom w:val="0"/>
          <w:divBdr>
            <w:top w:val="none" w:sz="0" w:space="0" w:color="auto"/>
            <w:left w:val="none" w:sz="0" w:space="0" w:color="auto"/>
            <w:bottom w:val="none" w:sz="0" w:space="0" w:color="auto"/>
            <w:right w:val="none" w:sz="0" w:space="0" w:color="auto"/>
          </w:divBdr>
          <w:divsChild>
            <w:div w:id="514466383">
              <w:marLeft w:val="0"/>
              <w:marRight w:val="0"/>
              <w:marTop w:val="0"/>
              <w:marBottom w:val="0"/>
              <w:divBdr>
                <w:top w:val="none" w:sz="0" w:space="0" w:color="auto"/>
                <w:left w:val="none" w:sz="0" w:space="0" w:color="auto"/>
                <w:bottom w:val="none" w:sz="0" w:space="0" w:color="auto"/>
                <w:right w:val="none" w:sz="0" w:space="0" w:color="auto"/>
              </w:divBdr>
              <w:divsChild>
                <w:div w:id="57826905">
                  <w:marLeft w:val="-300"/>
                  <w:marRight w:val="0"/>
                  <w:marTop w:val="60"/>
                  <w:marBottom w:val="0"/>
                  <w:divBdr>
                    <w:top w:val="none" w:sz="0" w:space="0" w:color="auto"/>
                    <w:left w:val="none" w:sz="0" w:space="0" w:color="auto"/>
                    <w:bottom w:val="none" w:sz="0" w:space="0" w:color="auto"/>
                    <w:right w:val="none" w:sz="0" w:space="0" w:color="auto"/>
                  </w:divBdr>
                </w:div>
              </w:divsChild>
            </w:div>
            <w:div w:id="298343572">
              <w:marLeft w:val="0"/>
              <w:marRight w:val="0"/>
              <w:marTop w:val="0"/>
              <w:marBottom w:val="0"/>
              <w:divBdr>
                <w:top w:val="none" w:sz="0" w:space="0" w:color="auto"/>
                <w:left w:val="none" w:sz="0" w:space="0" w:color="auto"/>
                <w:bottom w:val="none" w:sz="0" w:space="0" w:color="auto"/>
                <w:right w:val="none" w:sz="0" w:space="0" w:color="auto"/>
              </w:divBdr>
              <w:divsChild>
                <w:div w:id="840004335">
                  <w:marLeft w:val="0"/>
                  <w:marRight w:val="0"/>
                  <w:marTop w:val="0"/>
                  <w:marBottom w:val="0"/>
                  <w:divBdr>
                    <w:top w:val="none" w:sz="0" w:space="0" w:color="auto"/>
                    <w:left w:val="none" w:sz="0" w:space="0" w:color="auto"/>
                    <w:bottom w:val="none" w:sz="0" w:space="0" w:color="auto"/>
                    <w:right w:val="none" w:sz="0" w:space="0" w:color="auto"/>
                  </w:divBdr>
                </w:div>
                <w:div w:id="1908759906">
                  <w:marLeft w:val="0"/>
                  <w:marRight w:val="0"/>
                  <w:marTop w:val="0"/>
                  <w:marBottom w:val="0"/>
                  <w:divBdr>
                    <w:top w:val="none" w:sz="0" w:space="0" w:color="auto"/>
                    <w:left w:val="none" w:sz="0" w:space="0" w:color="auto"/>
                    <w:bottom w:val="none" w:sz="0" w:space="0" w:color="auto"/>
                    <w:right w:val="none" w:sz="0" w:space="0" w:color="auto"/>
                  </w:divBdr>
                  <w:divsChild>
                    <w:div w:id="14507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84613">
      <w:bodyDiv w:val="1"/>
      <w:marLeft w:val="0"/>
      <w:marRight w:val="0"/>
      <w:marTop w:val="0"/>
      <w:marBottom w:val="0"/>
      <w:divBdr>
        <w:top w:val="none" w:sz="0" w:space="0" w:color="auto"/>
        <w:left w:val="none" w:sz="0" w:space="0" w:color="auto"/>
        <w:bottom w:val="none" w:sz="0" w:space="0" w:color="auto"/>
        <w:right w:val="none" w:sz="0" w:space="0" w:color="auto"/>
      </w:divBdr>
    </w:div>
    <w:div w:id="20543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settings" Target="settings.xml"/><Relationship Id="rId7" Type="http://schemas.openxmlformats.org/officeDocument/2006/relationships/hyperlink" Target="mailto:henn@drgaup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1169</Words>
  <Characters>7369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5</cp:revision>
  <dcterms:created xsi:type="dcterms:W3CDTF">2020-05-22T08:18:00Z</dcterms:created>
  <dcterms:modified xsi:type="dcterms:W3CDTF">2020-06-02T13:25:00Z</dcterms:modified>
</cp:coreProperties>
</file>