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A9E" w:rsidRPr="00AE4AE6" w:rsidRDefault="00662A9E" w:rsidP="00662A9E">
      <w:pPr>
        <w:tabs>
          <w:tab w:val="center" w:pos="4536"/>
          <w:tab w:val="right" w:pos="9072"/>
        </w:tabs>
        <w:spacing w:after="0" w:line="240" w:lineRule="auto"/>
        <w:jc w:val="right"/>
        <w:rPr>
          <w:rFonts w:ascii="Arial" w:hAnsi="Arial" w:cs="Arial"/>
        </w:rPr>
      </w:pPr>
      <w:r w:rsidRPr="00AE4AE6">
        <w:rPr>
          <w:rFonts w:ascii="Arial" w:hAnsi="Arial" w:cs="Arial"/>
          <w:b/>
          <w:bCs/>
          <w:sz w:val="40"/>
          <w:szCs w:val="40"/>
        </w:rPr>
        <w:t>DASV</w:t>
      </w:r>
    </w:p>
    <w:p w:rsidR="00662A9E" w:rsidRPr="00AE4AE6" w:rsidRDefault="00662A9E" w:rsidP="00662A9E">
      <w:pPr>
        <w:spacing w:after="0" w:line="240" w:lineRule="auto"/>
        <w:jc w:val="right"/>
        <w:rPr>
          <w:rFonts w:ascii="Arial" w:hAnsi="Arial" w:cs="Arial"/>
          <w:sz w:val="20"/>
          <w:szCs w:val="20"/>
        </w:rPr>
      </w:pPr>
      <w:bookmarkStart w:id="0" w:name="2"/>
      <w:bookmarkStart w:id="1" w:name="9"/>
      <w:bookmarkEnd w:id="0"/>
      <w:bookmarkEnd w:id="1"/>
      <w:r w:rsidRPr="00AE4AE6">
        <w:rPr>
          <w:rFonts w:ascii="Arial" w:hAnsi="Arial" w:cs="Arial"/>
          <w:sz w:val="20"/>
          <w:szCs w:val="20"/>
        </w:rPr>
        <w:t>Deutsche Anwalts- und</w:t>
      </w:r>
    </w:p>
    <w:p w:rsidR="00662A9E" w:rsidRPr="00AE4AE6" w:rsidRDefault="00662A9E" w:rsidP="00662A9E">
      <w:pPr>
        <w:spacing w:after="0" w:line="240" w:lineRule="auto"/>
        <w:jc w:val="right"/>
        <w:rPr>
          <w:rFonts w:ascii="Arial" w:hAnsi="Arial" w:cs="Arial"/>
          <w:sz w:val="20"/>
          <w:szCs w:val="20"/>
        </w:rPr>
      </w:pPr>
      <w:r w:rsidRPr="00AE4AE6">
        <w:rPr>
          <w:rFonts w:ascii="Arial" w:hAnsi="Arial" w:cs="Arial"/>
          <w:sz w:val="20"/>
          <w:szCs w:val="20"/>
        </w:rPr>
        <w:t>Steuerberatervereinigung</w:t>
      </w:r>
    </w:p>
    <w:p w:rsidR="00662A9E" w:rsidRPr="00AE4AE6" w:rsidRDefault="00662A9E" w:rsidP="00662A9E">
      <w:pPr>
        <w:spacing w:after="0" w:line="240" w:lineRule="auto"/>
        <w:jc w:val="right"/>
        <w:rPr>
          <w:rFonts w:ascii="Arial" w:hAnsi="Arial" w:cs="Arial"/>
          <w:sz w:val="20"/>
          <w:szCs w:val="20"/>
        </w:rPr>
      </w:pPr>
      <w:r w:rsidRPr="00AE4AE6">
        <w:rPr>
          <w:rFonts w:ascii="Arial" w:hAnsi="Arial" w:cs="Arial"/>
          <w:sz w:val="20"/>
          <w:szCs w:val="20"/>
        </w:rPr>
        <w:t>für die mittelständische</w:t>
      </w:r>
    </w:p>
    <w:p w:rsidR="00662A9E" w:rsidRPr="00AE4AE6" w:rsidRDefault="00662A9E" w:rsidP="00662A9E">
      <w:pPr>
        <w:spacing w:after="0" w:line="360" w:lineRule="auto"/>
        <w:jc w:val="right"/>
        <w:rPr>
          <w:rFonts w:ascii="Arial" w:hAnsi="Arial" w:cs="Arial"/>
          <w:sz w:val="20"/>
          <w:szCs w:val="20"/>
        </w:rPr>
      </w:pPr>
      <w:r w:rsidRPr="00AE4AE6">
        <w:rPr>
          <w:rFonts w:ascii="Arial" w:hAnsi="Arial" w:cs="Arial"/>
          <w:sz w:val="20"/>
          <w:szCs w:val="20"/>
        </w:rPr>
        <w:t>Wirtschaft e. V.</w:t>
      </w:r>
    </w:p>
    <w:p w:rsidR="00662A9E" w:rsidRPr="00AE4AE6" w:rsidRDefault="00662A9E" w:rsidP="00662A9E">
      <w:pPr>
        <w:spacing w:after="0" w:line="240" w:lineRule="auto"/>
        <w:jc w:val="center"/>
        <w:rPr>
          <w:rFonts w:ascii="Arial" w:eastAsia="Times New Roman" w:hAnsi="Arial" w:cs="Arial"/>
          <w:b/>
          <w:bCs/>
          <w:sz w:val="20"/>
          <w:szCs w:val="20"/>
          <w:lang w:eastAsia="de-DE"/>
        </w:rPr>
      </w:pPr>
    </w:p>
    <w:p w:rsidR="00662A9E" w:rsidRPr="00AE4AE6" w:rsidRDefault="00662A9E" w:rsidP="00662A9E">
      <w:pPr>
        <w:spacing w:after="0" w:line="240" w:lineRule="auto"/>
        <w:jc w:val="center"/>
        <w:rPr>
          <w:rFonts w:ascii="Arial" w:eastAsia="Times New Roman" w:hAnsi="Arial" w:cs="Arial"/>
          <w:b/>
          <w:bCs/>
          <w:sz w:val="20"/>
          <w:szCs w:val="20"/>
          <w:lang w:eastAsia="de-DE"/>
        </w:rPr>
      </w:pPr>
      <w:r w:rsidRPr="00AE4AE6">
        <w:rPr>
          <w:rFonts w:ascii="Arial" w:eastAsia="Times New Roman" w:hAnsi="Arial" w:cs="Arial"/>
          <w:b/>
          <w:bCs/>
          <w:sz w:val="20"/>
          <w:szCs w:val="20"/>
          <w:lang w:eastAsia="de-DE"/>
        </w:rPr>
        <w:t xml:space="preserve">10 Urteile, die </w:t>
      </w:r>
      <w:r w:rsidR="0055050C">
        <w:rPr>
          <w:rFonts w:ascii="Arial" w:eastAsia="Times New Roman" w:hAnsi="Arial" w:cs="Arial"/>
          <w:b/>
          <w:bCs/>
          <w:sz w:val="20"/>
          <w:szCs w:val="20"/>
          <w:lang w:eastAsia="de-DE"/>
        </w:rPr>
        <w:t>Sie</w:t>
      </w:r>
      <w:bookmarkStart w:id="2" w:name="_GoBack"/>
      <w:bookmarkEnd w:id="2"/>
      <w:r w:rsidRPr="00AE4AE6">
        <w:rPr>
          <w:rFonts w:ascii="Arial" w:eastAsia="Times New Roman" w:hAnsi="Arial" w:cs="Arial"/>
          <w:b/>
          <w:bCs/>
          <w:sz w:val="20"/>
          <w:szCs w:val="20"/>
          <w:lang w:eastAsia="de-DE"/>
        </w:rPr>
        <w:t xml:space="preserve"> interessieren könnten</w:t>
      </w:r>
    </w:p>
    <w:p w:rsidR="00662A9E" w:rsidRPr="00AE4AE6" w:rsidRDefault="00662A9E" w:rsidP="00662A9E">
      <w:pPr>
        <w:spacing w:after="0" w:line="240" w:lineRule="auto"/>
        <w:jc w:val="both"/>
        <w:rPr>
          <w:rFonts w:ascii="Arial" w:eastAsia="Times New Roman" w:hAnsi="Arial" w:cs="Arial"/>
          <w:bCs/>
          <w:sz w:val="20"/>
          <w:szCs w:val="20"/>
          <w:lang w:eastAsia="de-DE"/>
        </w:rPr>
      </w:pPr>
    </w:p>
    <w:p w:rsidR="00662A9E" w:rsidRPr="00AE4AE6" w:rsidRDefault="00662A9E" w:rsidP="00662A9E">
      <w:pPr>
        <w:spacing w:after="0" w:line="240" w:lineRule="auto"/>
        <w:jc w:val="center"/>
        <w:rPr>
          <w:rFonts w:ascii="Arial" w:eastAsia="Times New Roman" w:hAnsi="Arial" w:cs="Arial"/>
          <w:sz w:val="20"/>
          <w:szCs w:val="20"/>
          <w:lang w:eastAsia="de-DE"/>
        </w:rPr>
      </w:pPr>
      <w:r w:rsidRPr="00AE4AE6">
        <w:rPr>
          <w:rFonts w:ascii="Arial" w:eastAsia="Times New Roman" w:hAnsi="Arial" w:cs="Arial"/>
          <w:sz w:val="20"/>
          <w:szCs w:val="20"/>
          <w:lang w:eastAsia="de-DE"/>
        </w:rPr>
        <w:t>zusammengestellt von Rechtsanwalt/Fachanwalt für Arbeitsrecht u. Fachanwalt für Erbrecht</w:t>
      </w:r>
    </w:p>
    <w:p w:rsidR="00662A9E" w:rsidRPr="00AE4AE6" w:rsidRDefault="00662A9E" w:rsidP="00662A9E">
      <w:pPr>
        <w:spacing w:after="0" w:line="240" w:lineRule="auto"/>
        <w:ind w:right="540"/>
        <w:jc w:val="center"/>
        <w:rPr>
          <w:rFonts w:ascii="Arial" w:eastAsia="Times New Roman" w:hAnsi="Arial" w:cs="Arial"/>
          <w:bCs/>
          <w:sz w:val="20"/>
          <w:szCs w:val="20"/>
          <w:lang w:eastAsia="de-DE"/>
        </w:rPr>
      </w:pPr>
      <w:r w:rsidRPr="00AE4AE6">
        <w:rPr>
          <w:rFonts w:ascii="Arial" w:eastAsia="Times New Roman" w:hAnsi="Arial" w:cs="Arial"/>
          <w:bCs/>
          <w:sz w:val="20"/>
          <w:szCs w:val="20"/>
          <w:lang w:eastAsia="de-DE"/>
        </w:rPr>
        <w:t>Michael Henn, Stuttgart</w:t>
      </w:r>
    </w:p>
    <w:p w:rsidR="00662A9E" w:rsidRDefault="00662A9E" w:rsidP="00662A9E">
      <w:pPr>
        <w:spacing w:after="0" w:line="240" w:lineRule="auto"/>
        <w:rPr>
          <w:rFonts w:ascii="Arial" w:hAnsi="Arial" w:cs="Arial"/>
          <w:sz w:val="20"/>
          <w:szCs w:val="20"/>
        </w:rPr>
      </w:pPr>
    </w:p>
    <w:p w:rsidR="00662A9E" w:rsidRDefault="00662A9E" w:rsidP="00662A9E">
      <w:pPr>
        <w:spacing w:after="0" w:line="240" w:lineRule="auto"/>
        <w:jc w:val="center"/>
        <w:rPr>
          <w:rFonts w:ascii="Arial" w:hAnsi="Arial" w:cs="Arial"/>
          <w:b/>
          <w:sz w:val="20"/>
          <w:szCs w:val="20"/>
        </w:rPr>
      </w:pPr>
      <w:r w:rsidRPr="00662A9E">
        <w:rPr>
          <w:rFonts w:ascii="Arial" w:hAnsi="Arial" w:cs="Arial"/>
          <w:b/>
          <w:sz w:val="20"/>
          <w:szCs w:val="20"/>
        </w:rPr>
        <w:t>I.</w:t>
      </w:r>
    </w:p>
    <w:p w:rsidR="00662A9E" w:rsidRPr="00662A9E" w:rsidRDefault="00662A9E" w:rsidP="00662A9E">
      <w:pPr>
        <w:spacing w:after="0" w:line="240" w:lineRule="auto"/>
        <w:jc w:val="center"/>
        <w:rPr>
          <w:rFonts w:ascii="Arial" w:hAnsi="Arial" w:cs="Arial"/>
          <w:b/>
          <w:bCs/>
          <w:sz w:val="20"/>
          <w:szCs w:val="20"/>
        </w:rPr>
      </w:pPr>
      <w:r w:rsidRPr="00662A9E">
        <w:rPr>
          <w:rFonts w:ascii="Arial" w:hAnsi="Arial" w:cs="Arial"/>
          <w:b/>
          <w:bCs/>
          <w:sz w:val="20"/>
          <w:szCs w:val="20"/>
        </w:rPr>
        <w:t>Bewachung beladener Fahrzeuge durch Frachtführer</w:t>
      </w:r>
    </w:p>
    <w:p w:rsidR="00662A9E" w:rsidRPr="00662A9E" w:rsidRDefault="00662A9E" w:rsidP="00662A9E">
      <w:pPr>
        <w:spacing w:after="0" w:line="240" w:lineRule="auto"/>
        <w:jc w:val="center"/>
        <w:rPr>
          <w:rFonts w:ascii="Arial" w:hAnsi="Arial" w:cs="Arial"/>
          <w:sz w:val="20"/>
          <w:szCs w:val="20"/>
        </w:rPr>
      </w:pPr>
      <w:r w:rsidRPr="00662A9E">
        <w:rPr>
          <w:rFonts w:ascii="Arial" w:hAnsi="Arial" w:cs="Arial"/>
          <w:sz w:val="20"/>
          <w:szCs w:val="20"/>
        </w:rPr>
        <w:t xml:space="preserve">BGH, </w:t>
      </w:r>
      <w:r>
        <w:rPr>
          <w:rFonts w:ascii="Arial" w:hAnsi="Arial" w:cs="Arial"/>
          <w:sz w:val="20"/>
          <w:szCs w:val="20"/>
        </w:rPr>
        <w:t>Urteil vom 23.07.2020, Az.</w:t>
      </w:r>
      <w:r w:rsidRPr="00662A9E">
        <w:rPr>
          <w:rFonts w:ascii="Arial" w:hAnsi="Arial" w:cs="Arial"/>
          <w:sz w:val="20"/>
          <w:szCs w:val="20"/>
        </w:rPr>
        <w:t xml:space="preserve"> I ZR 119/19</w:t>
      </w:r>
    </w:p>
    <w:p w:rsidR="00662A9E" w:rsidRPr="00662A9E" w:rsidRDefault="00662A9E" w:rsidP="00662A9E">
      <w:pPr>
        <w:spacing w:after="0" w:line="240" w:lineRule="auto"/>
        <w:jc w:val="both"/>
        <w:rPr>
          <w:rFonts w:ascii="Arial" w:hAnsi="Arial" w:cs="Arial"/>
          <w:sz w:val="20"/>
          <w:szCs w:val="20"/>
        </w:rPr>
      </w:pPr>
    </w:p>
    <w:p w:rsidR="00662A9E" w:rsidRDefault="00662A9E" w:rsidP="00662A9E">
      <w:pPr>
        <w:spacing w:after="0" w:line="240" w:lineRule="auto"/>
        <w:jc w:val="both"/>
        <w:rPr>
          <w:rFonts w:ascii="Arial" w:hAnsi="Arial" w:cs="Arial"/>
          <w:sz w:val="20"/>
          <w:szCs w:val="21"/>
        </w:rPr>
      </w:pPr>
      <w:r w:rsidRPr="00662A9E">
        <w:rPr>
          <w:rFonts w:ascii="Arial" w:hAnsi="Arial" w:cs="Arial"/>
          <w:sz w:val="20"/>
          <w:szCs w:val="21"/>
        </w:rPr>
        <w:t xml:space="preserve">a) </w:t>
      </w:r>
      <w:r w:rsidR="00363992" w:rsidRPr="00662A9E">
        <w:rPr>
          <w:rFonts w:ascii="Arial" w:hAnsi="Arial" w:cs="Arial"/>
          <w:sz w:val="20"/>
          <w:szCs w:val="21"/>
        </w:rPr>
        <w:t xml:space="preserve">Im Frachthaftungsprozess kommt es nicht auf die Frage an, wem die Entschädigung letztlich zusteht (im Anschluss an BGH, Urteil vom 20. April 1989 - I ZR 154/87, </w:t>
      </w:r>
      <w:proofErr w:type="spellStart"/>
      <w:r w:rsidR="00363992" w:rsidRPr="00662A9E">
        <w:rPr>
          <w:rFonts w:ascii="Arial" w:hAnsi="Arial" w:cs="Arial"/>
          <w:sz w:val="20"/>
          <w:szCs w:val="21"/>
        </w:rPr>
        <w:t>TranspR</w:t>
      </w:r>
      <w:proofErr w:type="spellEnd"/>
      <w:r w:rsidR="00363992" w:rsidRPr="00662A9E">
        <w:rPr>
          <w:rFonts w:ascii="Arial" w:hAnsi="Arial" w:cs="Arial"/>
          <w:sz w:val="20"/>
          <w:szCs w:val="21"/>
        </w:rPr>
        <w:t xml:space="preserve"> 1989, 413, 414 </w:t>
      </w:r>
      <w:proofErr w:type="spellStart"/>
      <w:r w:rsidR="00363992" w:rsidRPr="00662A9E">
        <w:rPr>
          <w:rFonts w:ascii="Arial" w:hAnsi="Arial" w:cs="Arial"/>
          <w:sz w:val="20"/>
          <w:szCs w:val="21"/>
        </w:rPr>
        <w:t>juris</w:t>
      </w:r>
      <w:proofErr w:type="spellEnd"/>
      <w:r w:rsidR="00363992" w:rsidRPr="00662A9E">
        <w:rPr>
          <w:rFonts w:ascii="Arial" w:hAnsi="Arial" w:cs="Arial"/>
          <w:sz w:val="20"/>
          <w:szCs w:val="21"/>
        </w:rPr>
        <w:t xml:space="preserve"> </w:t>
      </w:r>
      <w:proofErr w:type="spellStart"/>
      <w:r w:rsidR="00363992" w:rsidRPr="00662A9E">
        <w:rPr>
          <w:rFonts w:ascii="Arial" w:hAnsi="Arial" w:cs="Arial"/>
          <w:sz w:val="20"/>
          <w:szCs w:val="21"/>
        </w:rPr>
        <w:t>Rn</w:t>
      </w:r>
      <w:proofErr w:type="spellEnd"/>
      <w:r w:rsidR="00363992" w:rsidRPr="00662A9E">
        <w:rPr>
          <w:rFonts w:ascii="Arial" w:hAnsi="Arial" w:cs="Arial"/>
          <w:sz w:val="20"/>
          <w:szCs w:val="21"/>
        </w:rPr>
        <w:t>. 16]).</w:t>
      </w:r>
    </w:p>
    <w:p w:rsidR="00662A9E" w:rsidRPr="00662A9E" w:rsidRDefault="00662A9E" w:rsidP="00662A9E">
      <w:pPr>
        <w:spacing w:after="0" w:line="240" w:lineRule="auto"/>
        <w:jc w:val="both"/>
        <w:rPr>
          <w:rFonts w:ascii="Arial" w:hAnsi="Arial" w:cs="Arial"/>
          <w:sz w:val="20"/>
          <w:szCs w:val="21"/>
        </w:rPr>
      </w:pPr>
    </w:p>
    <w:p w:rsidR="00662A9E" w:rsidRDefault="00363992" w:rsidP="00662A9E">
      <w:pPr>
        <w:spacing w:after="0" w:line="240" w:lineRule="auto"/>
        <w:jc w:val="both"/>
        <w:rPr>
          <w:rFonts w:ascii="Arial" w:hAnsi="Arial" w:cs="Arial"/>
          <w:sz w:val="20"/>
          <w:szCs w:val="21"/>
        </w:rPr>
      </w:pPr>
      <w:r w:rsidRPr="00662A9E">
        <w:rPr>
          <w:rFonts w:ascii="Arial" w:hAnsi="Arial" w:cs="Arial"/>
          <w:sz w:val="20"/>
          <w:szCs w:val="21"/>
        </w:rPr>
        <w:t>b) Die Frage, ob die Voraussetzungen des § 435 HGB erfüllt sind, ist auch dann zu prüfen, wenn nur ein Grundurteil gemäß § 304 ZPO ergeht.</w:t>
      </w:r>
    </w:p>
    <w:p w:rsidR="00662A9E" w:rsidRPr="00662A9E" w:rsidRDefault="00662A9E" w:rsidP="00662A9E">
      <w:pPr>
        <w:spacing w:after="0" w:line="240" w:lineRule="auto"/>
        <w:jc w:val="both"/>
        <w:rPr>
          <w:rFonts w:ascii="Arial" w:hAnsi="Arial" w:cs="Arial"/>
          <w:sz w:val="20"/>
          <w:szCs w:val="21"/>
        </w:rPr>
      </w:pPr>
    </w:p>
    <w:p w:rsidR="00662A9E" w:rsidRDefault="00363992" w:rsidP="00662A9E">
      <w:pPr>
        <w:spacing w:after="0" w:line="240" w:lineRule="auto"/>
        <w:jc w:val="both"/>
        <w:rPr>
          <w:rFonts w:ascii="Arial" w:hAnsi="Arial" w:cs="Arial"/>
          <w:sz w:val="20"/>
          <w:szCs w:val="21"/>
        </w:rPr>
      </w:pPr>
      <w:r w:rsidRPr="00662A9E">
        <w:rPr>
          <w:rFonts w:ascii="Arial" w:hAnsi="Arial" w:cs="Arial"/>
          <w:sz w:val="20"/>
          <w:szCs w:val="21"/>
        </w:rPr>
        <w:t>c) Die Klausel in den Allgemeinen Geschäftsbedingungen eines Absenders, wonach beladene Fahrzeuge beim Parken zu überwachen oder dort abzustellen sind, wo ausreichende Sicherheit gewährleistet ist, erlegt dem Frachtführer keine über das gesetzliche Maß hinausgehenden Sorgfaltspflichten auf.</w:t>
      </w:r>
    </w:p>
    <w:p w:rsidR="00662A9E" w:rsidRPr="00662A9E" w:rsidRDefault="00662A9E" w:rsidP="00662A9E">
      <w:pPr>
        <w:spacing w:after="0" w:line="240" w:lineRule="auto"/>
        <w:jc w:val="both"/>
        <w:rPr>
          <w:rFonts w:ascii="Arial" w:hAnsi="Arial" w:cs="Arial"/>
          <w:sz w:val="20"/>
          <w:szCs w:val="21"/>
        </w:rPr>
      </w:pPr>
    </w:p>
    <w:p w:rsidR="00662A9E" w:rsidRDefault="00363992" w:rsidP="00662A9E">
      <w:pPr>
        <w:spacing w:after="0" w:line="240" w:lineRule="auto"/>
        <w:jc w:val="both"/>
        <w:rPr>
          <w:rFonts w:ascii="Arial" w:hAnsi="Arial" w:cs="Arial"/>
          <w:sz w:val="20"/>
          <w:szCs w:val="21"/>
        </w:rPr>
      </w:pPr>
      <w:r w:rsidRPr="00662A9E">
        <w:rPr>
          <w:rFonts w:ascii="Arial" w:hAnsi="Arial" w:cs="Arial"/>
          <w:sz w:val="20"/>
          <w:szCs w:val="21"/>
        </w:rPr>
        <w:t>d) Aus § 7a Abs. 2 Satz 1 GüKG ergibt sich für den Absender keine gegebenenfalls zur Kürzung des Schadensersatzanspruchs gemäß § 425 Abs. 2 HGB, § 254 BGB führende Warnobliegenheit.</w:t>
      </w:r>
    </w:p>
    <w:p w:rsidR="00662A9E" w:rsidRPr="00662A9E" w:rsidRDefault="00662A9E" w:rsidP="00662A9E">
      <w:pPr>
        <w:spacing w:after="0" w:line="240" w:lineRule="auto"/>
        <w:jc w:val="both"/>
        <w:rPr>
          <w:rFonts w:ascii="Arial" w:hAnsi="Arial" w:cs="Arial"/>
          <w:sz w:val="20"/>
          <w:szCs w:val="21"/>
        </w:rPr>
      </w:pPr>
    </w:p>
    <w:p w:rsidR="00662A9E" w:rsidRDefault="00363992" w:rsidP="00662A9E">
      <w:pPr>
        <w:spacing w:after="0" w:line="240" w:lineRule="auto"/>
        <w:jc w:val="both"/>
        <w:rPr>
          <w:rFonts w:ascii="Arial" w:hAnsi="Arial" w:cs="Arial"/>
          <w:sz w:val="20"/>
          <w:szCs w:val="21"/>
        </w:rPr>
      </w:pPr>
      <w:r w:rsidRPr="00662A9E">
        <w:rPr>
          <w:rFonts w:ascii="Arial" w:hAnsi="Arial" w:cs="Arial"/>
          <w:sz w:val="20"/>
          <w:szCs w:val="21"/>
        </w:rPr>
        <w:t>e) Wenn der Frachtführer mangels eines ihm anzulastenden qualifizierten Verschuldens im Sinne des § 435 HGB nur beschränkt auf den Haftungshöchstbetrag gemäß § 431 HGB haftet, wirkt sich ein Mitverschulden des Absenders oder Empfängers nur dann auf seine Haftung aus, wenn sein auf den Gesamtschaden bezogener Haftungsanteil betragsmäßig hinter der Haftungssumme des § 431 HGB zurückbleibt.</w:t>
      </w:r>
    </w:p>
    <w:p w:rsidR="00662A9E" w:rsidRPr="00662A9E" w:rsidRDefault="00662A9E" w:rsidP="00662A9E">
      <w:pPr>
        <w:spacing w:after="0" w:line="240" w:lineRule="auto"/>
        <w:jc w:val="both"/>
        <w:rPr>
          <w:rFonts w:ascii="Arial" w:hAnsi="Arial" w:cs="Arial"/>
          <w:sz w:val="20"/>
          <w:szCs w:val="21"/>
        </w:rPr>
      </w:pPr>
    </w:p>
    <w:p w:rsidR="00662A9E" w:rsidRDefault="00363992" w:rsidP="00662A9E">
      <w:pPr>
        <w:spacing w:after="0" w:line="240" w:lineRule="auto"/>
        <w:jc w:val="both"/>
        <w:rPr>
          <w:rFonts w:ascii="Arial" w:hAnsi="Arial" w:cs="Arial"/>
          <w:sz w:val="20"/>
          <w:szCs w:val="21"/>
        </w:rPr>
      </w:pPr>
      <w:r w:rsidRPr="00662A9E">
        <w:rPr>
          <w:rFonts w:ascii="Arial" w:hAnsi="Arial" w:cs="Arial"/>
          <w:sz w:val="20"/>
          <w:szCs w:val="21"/>
        </w:rPr>
        <w:t xml:space="preserve">f) Der Erlass eines Grundurteils gemäß § 304 ZPO kommt nur in Betracht, wenn feststeht, dass ein Mitverschulden nicht zum gänzlichen Haftungsausschluss führt (im Anschluss an BGH, Urteil vom 14. Oktober 2010 - I ZR 212/08, NJW 2011, 2138 </w:t>
      </w:r>
      <w:proofErr w:type="spellStart"/>
      <w:r w:rsidRPr="00662A9E">
        <w:rPr>
          <w:rFonts w:ascii="Arial" w:hAnsi="Arial" w:cs="Arial"/>
          <w:sz w:val="20"/>
          <w:szCs w:val="21"/>
        </w:rPr>
        <w:t>Rn</w:t>
      </w:r>
      <w:proofErr w:type="spellEnd"/>
      <w:r w:rsidRPr="00662A9E">
        <w:rPr>
          <w:rFonts w:ascii="Arial" w:hAnsi="Arial" w:cs="Arial"/>
          <w:sz w:val="20"/>
          <w:szCs w:val="21"/>
        </w:rPr>
        <w:t xml:space="preserve">. 35 - Mega-Kasten-Gewinnspiel, </w:t>
      </w:r>
      <w:proofErr w:type="spellStart"/>
      <w:r w:rsidRPr="00662A9E">
        <w:rPr>
          <w:rFonts w:ascii="Arial" w:hAnsi="Arial" w:cs="Arial"/>
          <w:sz w:val="20"/>
          <w:szCs w:val="21"/>
        </w:rPr>
        <w:t>mwN</w:t>
      </w:r>
      <w:proofErr w:type="spellEnd"/>
      <w:r w:rsidRPr="00662A9E">
        <w:rPr>
          <w:rFonts w:ascii="Arial" w:hAnsi="Arial" w:cs="Arial"/>
          <w:sz w:val="20"/>
          <w:szCs w:val="21"/>
        </w:rPr>
        <w:t>).</w:t>
      </w:r>
    </w:p>
    <w:p w:rsidR="00662A9E" w:rsidRPr="00662A9E" w:rsidRDefault="00662A9E" w:rsidP="00662A9E">
      <w:pPr>
        <w:spacing w:after="0" w:line="240" w:lineRule="auto"/>
        <w:jc w:val="both"/>
        <w:rPr>
          <w:rFonts w:ascii="Arial" w:hAnsi="Arial" w:cs="Arial"/>
          <w:sz w:val="20"/>
          <w:szCs w:val="21"/>
        </w:rPr>
      </w:pPr>
    </w:p>
    <w:p w:rsidR="00363992" w:rsidRPr="00662A9E" w:rsidRDefault="00363992" w:rsidP="00662A9E">
      <w:pPr>
        <w:spacing w:after="0" w:line="240" w:lineRule="auto"/>
        <w:jc w:val="both"/>
        <w:rPr>
          <w:rFonts w:ascii="Arial" w:hAnsi="Arial" w:cs="Arial"/>
          <w:sz w:val="20"/>
          <w:szCs w:val="21"/>
        </w:rPr>
      </w:pPr>
      <w:r w:rsidRPr="00662A9E">
        <w:rPr>
          <w:rFonts w:ascii="Arial" w:hAnsi="Arial" w:cs="Arial"/>
          <w:sz w:val="20"/>
          <w:szCs w:val="21"/>
        </w:rPr>
        <w:t>g) Zu den Voraussetzungen, unter denen im Fall der gemäß § 435 HGB unbeschränkten Haftung des Frachtführers der Erlass eines Grundurteils in Betracht kommt.</w:t>
      </w:r>
    </w:p>
    <w:p w:rsidR="00662A9E" w:rsidRDefault="00662A9E" w:rsidP="00662A9E">
      <w:pPr>
        <w:spacing w:after="0" w:line="240" w:lineRule="auto"/>
        <w:rPr>
          <w:rFonts w:ascii="Arial" w:hAnsi="Arial" w:cs="Arial"/>
          <w:sz w:val="20"/>
          <w:szCs w:val="21"/>
        </w:rPr>
      </w:pPr>
    </w:p>
    <w:p w:rsidR="00662A9E" w:rsidRDefault="00662A9E" w:rsidP="00662A9E">
      <w:pPr>
        <w:spacing w:after="0" w:line="240" w:lineRule="auto"/>
        <w:jc w:val="center"/>
        <w:rPr>
          <w:rFonts w:ascii="Arial" w:hAnsi="Arial" w:cs="Arial"/>
          <w:b/>
          <w:sz w:val="20"/>
          <w:szCs w:val="21"/>
        </w:rPr>
      </w:pPr>
      <w:r w:rsidRPr="00662A9E">
        <w:rPr>
          <w:rFonts w:ascii="Arial" w:hAnsi="Arial" w:cs="Arial"/>
          <w:b/>
          <w:sz w:val="20"/>
          <w:szCs w:val="21"/>
        </w:rPr>
        <w:t>II.</w:t>
      </w:r>
    </w:p>
    <w:p w:rsidR="00A013B5" w:rsidRPr="00A013B5" w:rsidRDefault="00A013B5" w:rsidP="00662A9E">
      <w:pPr>
        <w:spacing w:after="0" w:line="240" w:lineRule="auto"/>
        <w:jc w:val="center"/>
        <w:rPr>
          <w:rFonts w:ascii="Arial" w:hAnsi="Arial" w:cs="Arial"/>
          <w:b/>
          <w:sz w:val="20"/>
          <w:szCs w:val="21"/>
        </w:rPr>
      </w:pPr>
      <w:r w:rsidRPr="00A013B5">
        <w:rPr>
          <w:rFonts w:ascii="Arial" w:hAnsi="Arial" w:cs="Arial"/>
          <w:b/>
          <w:sz w:val="20"/>
          <w:szCs w:val="20"/>
          <w:lang w:eastAsia="de-DE"/>
        </w:rPr>
        <w:t>Grundstückskaufvertrag und unsichtbare Mängel</w:t>
      </w:r>
    </w:p>
    <w:p w:rsidR="005407EE" w:rsidRPr="00662A9E" w:rsidRDefault="00662A9E" w:rsidP="00662A9E">
      <w:pPr>
        <w:spacing w:after="0" w:line="240" w:lineRule="auto"/>
        <w:jc w:val="center"/>
        <w:rPr>
          <w:rFonts w:ascii="Arial" w:hAnsi="Arial" w:cs="Arial"/>
          <w:bCs/>
          <w:sz w:val="20"/>
          <w:szCs w:val="21"/>
        </w:rPr>
      </w:pPr>
      <w:r w:rsidRPr="00662A9E">
        <w:rPr>
          <w:rFonts w:ascii="Arial" w:hAnsi="Arial" w:cs="Arial"/>
          <w:bCs/>
          <w:sz w:val="20"/>
          <w:szCs w:val="21"/>
        </w:rPr>
        <w:t xml:space="preserve">Bundesgerichtshof, </w:t>
      </w:r>
      <w:r w:rsidR="005407EE" w:rsidRPr="00662A9E">
        <w:rPr>
          <w:rFonts w:ascii="Arial" w:hAnsi="Arial" w:cs="Arial"/>
          <w:bCs/>
          <w:sz w:val="20"/>
          <w:szCs w:val="21"/>
        </w:rPr>
        <w:t>Urteil vom 6. März 2020</w:t>
      </w:r>
      <w:r w:rsidRPr="00662A9E">
        <w:rPr>
          <w:rFonts w:ascii="Arial" w:hAnsi="Arial" w:cs="Arial"/>
          <w:bCs/>
          <w:sz w:val="20"/>
          <w:szCs w:val="21"/>
        </w:rPr>
        <w:t>, Az.</w:t>
      </w:r>
      <w:r w:rsidR="005407EE" w:rsidRPr="00662A9E">
        <w:rPr>
          <w:rFonts w:ascii="Arial" w:hAnsi="Arial" w:cs="Arial"/>
          <w:bCs/>
          <w:sz w:val="20"/>
          <w:szCs w:val="21"/>
        </w:rPr>
        <w:t xml:space="preserve"> V </w:t>
      </w:r>
      <w:r w:rsidRPr="00662A9E">
        <w:rPr>
          <w:rFonts w:ascii="Arial" w:hAnsi="Arial" w:cs="Arial"/>
          <w:bCs/>
          <w:sz w:val="20"/>
          <w:szCs w:val="21"/>
        </w:rPr>
        <w:t>ZR 2/19</w:t>
      </w:r>
    </w:p>
    <w:p w:rsidR="00662A9E" w:rsidRPr="00662A9E" w:rsidRDefault="00662A9E" w:rsidP="00662A9E">
      <w:pPr>
        <w:spacing w:after="0" w:line="240" w:lineRule="auto"/>
        <w:jc w:val="both"/>
        <w:rPr>
          <w:rFonts w:ascii="Arial" w:hAnsi="Arial" w:cs="Arial"/>
          <w:sz w:val="20"/>
          <w:szCs w:val="21"/>
        </w:rPr>
      </w:pPr>
    </w:p>
    <w:p w:rsidR="005407EE" w:rsidRDefault="005407EE" w:rsidP="00662A9E">
      <w:pPr>
        <w:spacing w:after="0" w:line="240" w:lineRule="auto"/>
        <w:jc w:val="both"/>
        <w:rPr>
          <w:rFonts w:ascii="Arial" w:hAnsi="Arial" w:cs="Arial"/>
          <w:sz w:val="20"/>
          <w:szCs w:val="20"/>
          <w:lang w:eastAsia="de-DE"/>
        </w:rPr>
      </w:pPr>
      <w:r w:rsidRPr="00662A9E">
        <w:rPr>
          <w:rFonts w:ascii="Arial" w:hAnsi="Arial" w:cs="Arial"/>
          <w:sz w:val="20"/>
          <w:szCs w:val="20"/>
          <w:lang w:eastAsia="de-DE"/>
        </w:rPr>
        <w:t>Die in einem Grundstückskaufvertrag enthaltene Erklärung des Verkäufers, ihm seien keine unsichtbaren Mängel bekannt, rechtfertigt keine Abweichung von dem Grundsatz, dass den Käufer die Darlegungs- und Beweislast für die unterbliebene Aufklärung über offenbarungspflichtiger Umstände trifft (Bestätigung von Senat, Urteil vom 30. April 2003 - V ZR 100/02, NJW 2003, 2380).</w:t>
      </w:r>
    </w:p>
    <w:p w:rsidR="00662A9E" w:rsidRDefault="00662A9E" w:rsidP="00662A9E">
      <w:pPr>
        <w:spacing w:after="0" w:line="240" w:lineRule="auto"/>
        <w:jc w:val="both"/>
        <w:rPr>
          <w:rFonts w:ascii="Arial" w:hAnsi="Arial" w:cs="Arial"/>
          <w:sz w:val="20"/>
          <w:szCs w:val="20"/>
          <w:lang w:eastAsia="de-DE"/>
        </w:rPr>
      </w:pPr>
    </w:p>
    <w:p w:rsidR="00662A9E" w:rsidRDefault="00662A9E" w:rsidP="00662A9E">
      <w:pPr>
        <w:spacing w:after="0" w:line="240" w:lineRule="auto"/>
        <w:jc w:val="center"/>
        <w:rPr>
          <w:rFonts w:ascii="Arial" w:hAnsi="Arial" w:cs="Arial"/>
          <w:b/>
          <w:sz w:val="20"/>
          <w:szCs w:val="20"/>
          <w:lang w:eastAsia="de-DE"/>
        </w:rPr>
      </w:pPr>
      <w:r w:rsidRPr="00662A9E">
        <w:rPr>
          <w:rFonts w:ascii="Arial" w:hAnsi="Arial" w:cs="Arial"/>
          <w:b/>
          <w:sz w:val="20"/>
          <w:szCs w:val="20"/>
          <w:lang w:eastAsia="de-DE"/>
        </w:rPr>
        <w:t>III.</w:t>
      </w:r>
    </w:p>
    <w:p w:rsidR="00662A9E" w:rsidRPr="00662A9E" w:rsidRDefault="00662A9E" w:rsidP="00662A9E">
      <w:pPr>
        <w:spacing w:after="0" w:line="240" w:lineRule="auto"/>
        <w:jc w:val="center"/>
        <w:rPr>
          <w:rFonts w:ascii="Arial" w:hAnsi="Arial" w:cs="Arial"/>
          <w:b/>
          <w:bCs/>
          <w:sz w:val="20"/>
          <w:szCs w:val="20"/>
          <w:lang w:eastAsia="de-DE"/>
        </w:rPr>
      </w:pPr>
      <w:r w:rsidRPr="00662A9E">
        <w:rPr>
          <w:rFonts w:ascii="Arial" w:hAnsi="Arial" w:cs="Arial"/>
          <w:b/>
          <w:bCs/>
          <w:sz w:val="20"/>
          <w:szCs w:val="20"/>
          <w:lang w:eastAsia="de-DE"/>
        </w:rPr>
        <w:t>Sozialversicherungsrechtliche Bewertung nach der konkreten Gestaltung der Tätigkeit</w:t>
      </w:r>
    </w:p>
    <w:p w:rsidR="00662A9E" w:rsidRPr="00662A9E" w:rsidRDefault="00662A9E" w:rsidP="00662A9E">
      <w:pPr>
        <w:spacing w:after="0" w:line="240" w:lineRule="auto"/>
        <w:jc w:val="center"/>
        <w:rPr>
          <w:rFonts w:ascii="Arial" w:hAnsi="Arial" w:cs="Arial"/>
          <w:sz w:val="20"/>
          <w:szCs w:val="20"/>
        </w:rPr>
      </w:pPr>
      <w:r>
        <w:rPr>
          <w:rFonts w:ascii="Arial" w:hAnsi="Arial" w:cs="Arial"/>
          <w:sz w:val="20"/>
          <w:szCs w:val="20"/>
          <w:lang w:eastAsia="de-DE"/>
        </w:rPr>
        <w:t xml:space="preserve">BGH, </w:t>
      </w:r>
      <w:r w:rsidRPr="00662A9E">
        <w:rPr>
          <w:rFonts w:ascii="Arial" w:hAnsi="Arial" w:cs="Arial"/>
          <w:sz w:val="20"/>
          <w:szCs w:val="20"/>
        </w:rPr>
        <w:t>Beschluss vom 13.12.2018, Az</w:t>
      </w:r>
      <w:r>
        <w:rPr>
          <w:rFonts w:ascii="Arial" w:hAnsi="Arial" w:cs="Arial"/>
          <w:sz w:val="20"/>
          <w:szCs w:val="20"/>
        </w:rPr>
        <w:t>.</w:t>
      </w:r>
      <w:r w:rsidRPr="00662A9E">
        <w:rPr>
          <w:rFonts w:ascii="Arial" w:hAnsi="Arial" w:cs="Arial"/>
          <w:sz w:val="20"/>
          <w:szCs w:val="20"/>
        </w:rPr>
        <w:t xml:space="preserve"> 5 </w:t>
      </w:r>
      <w:proofErr w:type="spellStart"/>
      <w:r w:rsidRPr="00662A9E">
        <w:rPr>
          <w:rFonts w:ascii="Arial" w:hAnsi="Arial" w:cs="Arial"/>
          <w:sz w:val="20"/>
          <w:szCs w:val="20"/>
        </w:rPr>
        <w:t>StR</w:t>
      </w:r>
      <w:proofErr w:type="spellEnd"/>
      <w:r w:rsidRPr="00662A9E">
        <w:rPr>
          <w:rFonts w:ascii="Arial" w:hAnsi="Arial" w:cs="Arial"/>
          <w:sz w:val="20"/>
          <w:szCs w:val="20"/>
        </w:rPr>
        <w:t xml:space="preserve"> 275/18</w:t>
      </w:r>
    </w:p>
    <w:p w:rsidR="00662A9E" w:rsidRPr="00662A9E" w:rsidRDefault="00662A9E" w:rsidP="00662A9E">
      <w:pPr>
        <w:spacing w:after="0" w:line="240" w:lineRule="auto"/>
        <w:jc w:val="both"/>
        <w:rPr>
          <w:rFonts w:ascii="Arial" w:hAnsi="Arial" w:cs="Arial"/>
          <w:sz w:val="18"/>
          <w:szCs w:val="20"/>
          <w:lang w:eastAsia="de-DE"/>
        </w:rPr>
      </w:pPr>
    </w:p>
    <w:p w:rsidR="00997341" w:rsidRDefault="00997341" w:rsidP="00662A9E">
      <w:pPr>
        <w:spacing w:after="0" w:line="240" w:lineRule="auto"/>
        <w:jc w:val="both"/>
        <w:rPr>
          <w:rFonts w:ascii="Arial" w:hAnsi="Arial" w:cs="Arial"/>
          <w:sz w:val="20"/>
          <w:szCs w:val="21"/>
        </w:rPr>
      </w:pPr>
      <w:r w:rsidRPr="00662A9E">
        <w:rPr>
          <w:rFonts w:ascii="Arial" w:hAnsi="Arial" w:cs="Arial"/>
          <w:sz w:val="20"/>
          <w:szCs w:val="21"/>
        </w:rPr>
        <w:t xml:space="preserve">Eine sozialversicherungspflichtige Beschäftigung voraus, dass der Arbeitnehmer vom Arbeitgeber persönlich abhängig ist. Dies ist der Fall, wenn der Beschäftigte in den Betrieb eingegliedert ist und dabei einem Zeit, Dauer, Ort und Art der Ausführung umfassenden Weisungsrecht des Arbeitgebers unterliegt. Demgegenüber ist eine selbständige Tätigkeit vornehmlich durch das eigene Unternehmerrisiko, das Vorhandensein einer eigenen Betriebsstätte, die Verfügungsmöglichkeit über </w:t>
      </w:r>
      <w:r w:rsidRPr="00662A9E">
        <w:rPr>
          <w:rFonts w:ascii="Arial" w:hAnsi="Arial" w:cs="Arial"/>
          <w:sz w:val="20"/>
          <w:szCs w:val="21"/>
        </w:rPr>
        <w:lastRenderedPageBreak/>
        <w:t>die eigene Arbeitskraft und die im Wesentlichen frei gestaltete Tätigkeit und Arbeitszeit gekennzeichnet. Die sozialversicherungsrechtliche Bewertung ist nicht von einem abstrakten Tätigkeitsbild, sondern von der konkreten Gestaltung der jeweiligen Tätigkeit abhängig.</w:t>
      </w:r>
    </w:p>
    <w:p w:rsidR="00662A9E" w:rsidRDefault="00662A9E" w:rsidP="00662A9E">
      <w:pPr>
        <w:spacing w:after="0" w:line="240" w:lineRule="auto"/>
        <w:jc w:val="both"/>
        <w:rPr>
          <w:rFonts w:ascii="Arial" w:hAnsi="Arial" w:cs="Arial"/>
          <w:sz w:val="20"/>
          <w:szCs w:val="21"/>
        </w:rPr>
      </w:pPr>
    </w:p>
    <w:p w:rsidR="00662A9E" w:rsidRDefault="00662A9E" w:rsidP="00662A9E">
      <w:pPr>
        <w:spacing w:after="0" w:line="240" w:lineRule="auto"/>
        <w:jc w:val="center"/>
        <w:rPr>
          <w:rFonts w:ascii="Arial" w:hAnsi="Arial" w:cs="Arial"/>
          <w:b/>
          <w:sz w:val="20"/>
          <w:szCs w:val="21"/>
        </w:rPr>
      </w:pPr>
      <w:r w:rsidRPr="00662A9E">
        <w:rPr>
          <w:rFonts w:ascii="Arial" w:hAnsi="Arial" w:cs="Arial"/>
          <w:b/>
          <w:sz w:val="20"/>
          <w:szCs w:val="21"/>
        </w:rPr>
        <w:t>IV.</w:t>
      </w:r>
    </w:p>
    <w:p w:rsidR="00203228" w:rsidRPr="00203228" w:rsidRDefault="00203228" w:rsidP="00203228">
      <w:pPr>
        <w:spacing w:after="0" w:line="240" w:lineRule="auto"/>
        <w:jc w:val="center"/>
        <w:rPr>
          <w:rFonts w:ascii="Arial" w:hAnsi="Arial" w:cs="Arial"/>
          <w:b/>
          <w:sz w:val="20"/>
          <w:szCs w:val="21"/>
        </w:rPr>
      </w:pPr>
      <w:r w:rsidRPr="00203228">
        <w:rPr>
          <w:rFonts w:ascii="Arial" w:hAnsi="Arial" w:cs="Arial"/>
          <w:b/>
          <w:sz w:val="20"/>
          <w:szCs w:val="21"/>
        </w:rPr>
        <w:t>Pauschalreisevertrag: Haftung des Reiseveranstalters für unrichtige mündliche Erklärungen des Reisebüros zu ausländischen Einreisebestimmungen; Vorrang der mündlichen Erklärungen gegenüber dem Reiseprospekt</w:t>
      </w:r>
    </w:p>
    <w:p w:rsidR="00203228" w:rsidRDefault="00203228" w:rsidP="00662A9E">
      <w:pPr>
        <w:spacing w:after="0" w:line="240" w:lineRule="auto"/>
        <w:jc w:val="center"/>
        <w:rPr>
          <w:rFonts w:ascii="Arial" w:hAnsi="Arial" w:cs="Arial"/>
          <w:sz w:val="20"/>
          <w:szCs w:val="21"/>
        </w:rPr>
      </w:pPr>
      <w:r w:rsidRPr="00203228">
        <w:rPr>
          <w:rFonts w:ascii="Arial" w:hAnsi="Arial" w:cs="Arial"/>
          <w:sz w:val="20"/>
          <w:szCs w:val="21"/>
        </w:rPr>
        <w:t>OLG Celle, Urteil vom 06. August 2020</w:t>
      </w:r>
      <w:r>
        <w:rPr>
          <w:rFonts w:ascii="Arial" w:hAnsi="Arial" w:cs="Arial"/>
          <w:sz w:val="20"/>
          <w:szCs w:val="21"/>
        </w:rPr>
        <w:t>, Az. 11 U 113/19</w:t>
      </w:r>
    </w:p>
    <w:p w:rsidR="00203228" w:rsidRDefault="00203228" w:rsidP="00203228">
      <w:pPr>
        <w:spacing w:after="0" w:line="240" w:lineRule="auto"/>
        <w:jc w:val="both"/>
        <w:rPr>
          <w:rFonts w:ascii="Arial" w:hAnsi="Arial" w:cs="Arial"/>
          <w:sz w:val="20"/>
          <w:szCs w:val="21"/>
        </w:rPr>
      </w:pPr>
    </w:p>
    <w:p w:rsidR="00203228" w:rsidRPr="00203228" w:rsidRDefault="00203228" w:rsidP="00203228">
      <w:pPr>
        <w:spacing w:after="0" w:line="240" w:lineRule="auto"/>
        <w:jc w:val="both"/>
        <w:rPr>
          <w:rFonts w:ascii="Arial" w:hAnsi="Arial" w:cs="Arial"/>
          <w:sz w:val="20"/>
          <w:szCs w:val="21"/>
        </w:rPr>
      </w:pPr>
      <w:r w:rsidRPr="00203228">
        <w:rPr>
          <w:rFonts w:ascii="Arial" w:hAnsi="Arial" w:cs="Arial"/>
          <w:sz w:val="20"/>
          <w:szCs w:val="21"/>
        </w:rPr>
        <w:t>1. Der Reiseveranstalter muss sich grundsätzlich alle inhaltlich unrichtigen Erklärungen des Personals des von ihm mit der Vermittlung von Pauschalreisen betrauten Reisebüros – etwa über Einreisebestimmungen am Zielort oder an einem Zwischenziel – zurechnen lassen.</w:t>
      </w:r>
    </w:p>
    <w:p w:rsidR="00203228" w:rsidRPr="00203228" w:rsidRDefault="00203228" w:rsidP="00203228">
      <w:pPr>
        <w:spacing w:after="0" w:line="240" w:lineRule="auto"/>
        <w:jc w:val="both"/>
        <w:rPr>
          <w:rFonts w:ascii="Arial" w:hAnsi="Arial" w:cs="Arial"/>
          <w:sz w:val="20"/>
          <w:szCs w:val="21"/>
        </w:rPr>
      </w:pPr>
      <w:r w:rsidRPr="00203228">
        <w:rPr>
          <w:rFonts w:ascii="Arial" w:hAnsi="Arial" w:cs="Arial"/>
          <w:sz w:val="20"/>
          <w:szCs w:val="21"/>
        </w:rPr>
        <w:t>2. Das gilt grundsätzlich auch dann, wenn der dem Reisenden übergebene Reiseprospekt (oder ein vergleichbares elektronisches Dokument) in einem Anhang die zutreffenden Informationen erhält; es gilt der Grundsatz des Vorrangs des gesprochenen Wortes</w:t>
      </w:r>
    </w:p>
    <w:p w:rsidR="00203228" w:rsidRPr="00203228" w:rsidRDefault="00203228" w:rsidP="00203228">
      <w:pPr>
        <w:spacing w:after="0" w:line="240" w:lineRule="auto"/>
        <w:jc w:val="both"/>
        <w:rPr>
          <w:rFonts w:ascii="Arial" w:hAnsi="Arial" w:cs="Arial"/>
          <w:sz w:val="20"/>
          <w:szCs w:val="21"/>
        </w:rPr>
      </w:pPr>
      <w:r w:rsidRPr="00203228">
        <w:rPr>
          <w:rFonts w:ascii="Arial" w:hAnsi="Arial" w:cs="Arial"/>
          <w:sz w:val="20"/>
          <w:szCs w:val="21"/>
        </w:rPr>
        <w:t>3. Die Zurechnung erfolgt auch, wenn der Reisende sich zum Zeitpunkt der unrichtigen mündlichen Erklärung noch nicht für ein bestimmtes Reiseziel entschieden hatte.</w:t>
      </w:r>
    </w:p>
    <w:p w:rsidR="00203228" w:rsidRPr="00203228" w:rsidRDefault="00203228" w:rsidP="00203228">
      <w:pPr>
        <w:spacing w:after="0" w:line="240" w:lineRule="auto"/>
        <w:jc w:val="both"/>
        <w:rPr>
          <w:rFonts w:ascii="Arial" w:hAnsi="Arial" w:cs="Arial"/>
          <w:sz w:val="20"/>
          <w:szCs w:val="21"/>
        </w:rPr>
      </w:pPr>
      <w:r w:rsidRPr="00203228">
        <w:rPr>
          <w:rFonts w:ascii="Arial" w:hAnsi="Arial" w:cs="Arial"/>
          <w:sz w:val="20"/>
          <w:szCs w:val="21"/>
        </w:rPr>
        <w:t>4. Der Inhalt ausländischer Einreisebestimmungen lässt sich allein anhand eines – unstreitigen – Parteivorbringens bestimmen.</w:t>
      </w:r>
    </w:p>
    <w:p w:rsidR="00203228" w:rsidRPr="00203228" w:rsidRDefault="00203228" w:rsidP="00203228">
      <w:pPr>
        <w:spacing w:after="0" w:line="240" w:lineRule="auto"/>
        <w:jc w:val="both"/>
        <w:rPr>
          <w:rFonts w:ascii="Arial" w:hAnsi="Arial" w:cs="Arial"/>
          <w:sz w:val="20"/>
          <w:szCs w:val="21"/>
        </w:rPr>
      </w:pPr>
    </w:p>
    <w:p w:rsidR="00662A9E" w:rsidRDefault="00203228" w:rsidP="00203228">
      <w:pPr>
        <w:spacing w:after="0" w:line="240" w:lineRule="auto"/>
        <w:jc w:val="center"/>
        <w:rPr>
          <w:rFonts w:ascii="Arial" w:hAnsi="Arial" w:cs="Arial"/>
          <w:b/>
          <w:sz w:val="20"/>
          <w:szCs w:val="21"/>
        </w:rPr>
      </w:pPr>
      <w:r w:rsidRPr="00203228">
        <w:rPr>
          <w:rFonts w:ascii="Arial" w:hAnsi="Arial" w:cs="Arial"/>
          <w:b/>
          <w:sz w:val="20"/>
          <w:szCs w:val="21"/>
        </w:rPr>
        <w:t>V.</w:t>
      </w:r>
    </w:p>
    <w:p w:rsidR="00203228" w:rsidRPr="00203228" w:rsidRDefault="00203228" w:rsidP="00203228">
      <w:pPr>
        <w:spacing w:after="0" w:line="240" w:lineRule="auto"/>
        <w:jc w:val="center"/>
        <w:rPr>
          <w:rFonts w:ascii="Arial" w:hAnsi="Arial" w:cs="Arial"/>
          <w:b/>
          <w:sz w:val="20"/>
          <w:szCs w:val="21"/>
        </w:rPr>
      </w:pPr>
      <w:r>
        <w:rPr>
          <w:rFonts w:ascii="Arial" w:hAnsi="Arial" w:cs="Arial"/>
          <w:b/>
          <w:sz w:val="20"/>
          <w:szCs w:val="21"/>
        </w:rPr>
        <w:t>LG Hannover, Urteil vom 06.06.2019, Az.</w:t>
      </w:r>
      <w:r w:rsidRPr="00203228">
        <w:rPr>
          <w:rFonts w:ascii="Arial" w:hAnsi="Arial" w:cs="Arial"/>
          <w:b/>
          <w:sz w:val="20"/>
          <w:szCs w:val="21"/>
        </w:rPr>
        <w:t xml:space="preserve"> 8 O 58/18</w:t>
      </w:r>
    </w:p>
    <w:p w:rsidR="00A013B5" w:rsidRDefault="00A013B5" w:rsidP="00203228">
      <w:pPr>
        <w:spacing w:after="0" w:line="240" w:lineRule="auto"/>
        <w:jc w:val="both"/>
        <w:rPr>
          <w:rFonts w:ascii="Arial" w:hAnsi="Arial" w:cs="Arial"/>
          <w:sz w:val="20"/>
          <w:szCs w:val="21"/>
        </w:rPr>
      </w:pPr>
    </w:p>
    <w:p w:rsidR="00203228" w:rsidRPr="00203228" w:rsidRDefault="00203228" w:rsidP="00203228">
      <w:pPr>
        <w:pStyle w:val="StandardWeb"/>
        <w:spacing w:before="0" w:beforeAutospacing="0" w:after="0" w:afterAutospacing="0"/>
        <w:jc w:val="both"/>
        <w:rPr>
          <w:rFonts w:ascii="Arial" w:hAnsi="Arial" w:cs="Arial"/>
          <w:sz w:val="20"/>
        </w:rPr>
      </w:pPr>
      <w:r w:rsidRPr="00203228">
        <w:rPr>
          <w:rFonts w:ascii="Arial" w:hAnsi="Arial" w:cs="Arial"/>
          <w:sz w:val="20"/>
        </w:rPr>
        <w:t>Der Kläger nimmt die Beklagte auf Rückzahlung des Preises für eine Fernreise und auf Entschädigung für vertanen Urlaub in Anspruch.</w:t>
      </w:r>
    </w:p>
    <w:p w:rsidR="00203228" w:rsidRPr="00203228" w:rsidRDefault="00203228" w:rsidP="00203228">
      <w:pPr>
        <w:pStyle w:val="StandardWeb"/>
        <w:spacing w:before="0" w:beforeAutospacing="0" w:after="0" w:afterAutospacing="0"/>
        <w:jc w:val="both"/>
        <w:rPr>
          <w:rFonts w:ascii="Arial" w:hAnsi="Arial" w:cs="Arial"/>
          <w:sz w:val="20"/>
        </w:rPr>
      </w:pPr>
      <w:r w:rsidRPr="00203228">
        <w:rPr>
          <w:rFonts w:ascii="Arial" w:hAnsi="Arial" w:cs="Arial"/>
          <w:sz w:val="20"/>
        </w:rPr>
        <w:t>Wegen des Sach- und Streitstands erster Instanz sowie wegen der erstinstanzlich gestellten Anträge der Parteien wird auf die tatsächlichen Feststellungen im angefochtenen Urteil Bezug genommen (</w:t>
      </w:r>
      <w:hyperlink r:id="rId7" w:tooltip="§ 540 ZPO, Bundesnorm, Inhalt des Berufungsurteils, Zivilprozessordnung, gültig ab 21.10.2005" w:history="1">
        <w:r w:rsidRPr="00203228">
          <w:rPr>
            <w:rStyle w:val="Hyperlink"/>
            <w:rFonts w:ascii="Arial" w:hAnsi="Arial" w:cs="Arial"/>
            <w:color w:val="auto"/>
            <w:sz w:val="20"/>
            <w:u w:val="none"/>
          </w:rPr>
          <w:t>§ 540 Abs. 1 Satz 1 Nr. 1 ZPO</w:t>
        </w:r>
      </w:hyperlink>
      <w:r w:rsidRPr="00203228">
        <w:rPr>
          <w:rFonts w:ascii="Arial" w:hAnsi="Arial" w:cs="Arial"/>
          <w:sz w:val="20"/>
        </w:rPr>
        <w:t>). Die Klage ist der Beklagten am 12. Juli 2018 zugestellt worden.</w:t>
      </w:r>
    </w:p>
    <w:p w:rsidR="00203228" w:rsidRPr="00203228" w:rsidRDefault="00203228" w:rsidP="00203228">
      <w:pPr>
        <w:pStyle w:val="StandardWeb"/>
        <w:spacing w:before="0" w:beforeAutospacing="0" w:after="0" w:afterAutospacing="0"/>
        <w:jc w:val="both"/>
        <w:rPr>
          <w:rFonts w:ascii="Arial" w:hAnsi="Arial" w:cs="Arial"/>
          <w:sz w:val="20"/>
        </w:rPr>
      </w:pPr>
    </w:p>
    <w:p w:rsidR="00203228" w:rsidRDefault="00203228" w:rsidP="00203228">
      <w:pPr>
        <w:pStyle w:val="StandardWeb"/>
        <w:spacing w:before="0" w:beforeAutospacing="0" w:after="0" w:afterAutospacing="0"/>
        <w:jc w:val="center"/>
        <w:rPr>
          <w:rFonts w:ascii="Arial" w:hAnsi="Arial" w:cs="Arial"/>
          <w:b/>
          <w:sz w:val="20"/>
        </w:rPr>
      </w:pPr>
      <w:r w:rsidRPr="00203228">
        <w:rPr>
          <w:rFonts w:ascii="Arial" w:hAnsi="Arial" w:cs="Arial"/>
          <w:b/>
          <w:sz w:val="20"/>
        </w:rPr>
        <w:t>VI.</w:t>
      </w:r>
    </w:p>
    <w:p w:rsidR="00203228" w:rsidRPr="00203228" w:rsidRDefault="00203228" w:rsidP="00203228">
      <w:pPr>
        <w:pStyle w:val="StandardWeb"/>
        <w:spacing w:before="0" w:beforeAutospacing="0" w:after="0" w:afterAutospacing="0"/>
        <w:jc w:val="center"/>
        <w:rPr>
          <w:rFonts w:ascii="Arial" w:hAnsi="Arial" w:cs="Arial"/>
          <w:b/>
          <w:sz w:val="20"/>
        </w:rPr>
      </w:pPr>
      <w:r w:rsidRPr="00203228">
        <w:rPr>
          <w:rFonts w:ascii="Arial" w:hAnsi="Arial" w:cs="Arial"/>
          <w:b/>
          <w:sz w:val="20"/>
        </w:rPr>
        <w:t xml:space="preserve">Obliegenheitsverletzung in der Kfz-Kaskoversicherung durch Entfernen vom Unfallort </w:t>
      </w:r>
    </w:p>
    <w:p w:rsidR="00203228" w:rsidRPr="00203228" w:rsidRDefault="00203228" w:rsidP="00203228">
      <w:pPr>
        <w:pStyle w:val="StandardWeb"/>
        <w:spacing w:before="0" w:beforeAutospacing="0" w:after="0" w:afterAutospacing="0"/>
        <w:jc w:val="center"/>
        <w:rPr>
          <w:rFonts w:ascii="Arial" w:hAnsi="Arial" w:cs="Arial"/>
          <w:sz w:val="20"/>
        </w:rPr>
      </w:pPr>
      <w:r w:rsidRPr="00203228">
        <w:rPr>
          <w:rFonts w:ascii="Arial" w:hAnsi="Arial" w:cs="Arial"/>
          <w:sz w:val="20"/>
        </w:rPr>
        <w:t>OLG Karlsruhe, Urteil vom 06. August 2020</w:t>
      </w:r>
      <w:r>
        <w:rPr>
          <w:rFonts w:ascii="Arial" w:hAnsi="Arial" w:cs="Arial"/>
          <w:sz w:val="20"/>
        </w:rPr>
        <w:t>, Az. 12 U 53/20</w:t>
      </w:r>
    </w:p>
    <w:p w:rsidR="00203228" w:rsidRDefault="00203228" w:rsidP="00203228">
      <w:pPr>
        <w:pStyle w:val="StandardWeb"/>
        <w:spacing w:before="0" w:beforeAutospacing="0" w:after="0" w:afterAutospacing="0"/>
        <w:rPr>
          <w:rFonts w:ascii="Arial" w:hAnsi="Arial" w:cs="Arial"/>
          <w:sz w:val="20"/>
        </w:rPr>
      </w:pPr>
    </w:p>
    <w:p w:rsidR="00203228" w:rsidRDefault="00203228" w:rsidP="00203228">
      <w:pPr>
        <w:pStyle w:val="StandardWeb"/>
        <w:spacing w:before="0" w:beforeAutospacing="0" w:after="0" w:afterAutospacing="0"/>
        <w:rPr>
          <w:rFonts w:ascii="Arial" w:hAnsi="Arial" w:cs="Arial"/>
          <w:sz w:val="20"/>
        </w:rPr>
      </w:pPr>
      <w:r w:rsidRPr="00203228">
        <w:rPr>
          <w:rFonts w:ascii="Arial" w:hAnsi="Arial" w:cs="Arial"/>
          <w:sz w:val="20"/>
        </w:rPr>
        <w:t>1. Es stellt keine Verletzung der Aufklärungsobliegenheit gemäß E.1.1.3, 1. Spiegelstrich AKB 2015 dar, wenn der Versicherte nach einem schweren Verkehrsunfall ohne Fremdbeteiligung und bei klarer Haftungslage zur Nachtzeit im Januar auf einer Landstraße in dörflicher Gegend, bei dem er sich eine blutende Kopfverletzung zugezogen hatte, trotz eines verursachten Fremdschadens von ca. 200 € den Unfallort zur ärztlichen Abklärung seines Gesundheitszustandes ohne Einhaltung einer Wartezeit verlässt.</w:t>
      </w:r>
    </w:p>
    <w:p w:rsidR="00203228" w:rsidRDefault="00203228" w:rsidP="00203228">
      <w:pPr>
        <w:pStyle w:val="StandardWeb"/>
        <w:spacing w:before="0" w:beforeAutospacing="0" w:after="0" w:afterAutospacing="0"/>
        <w:rPr>
          <w:rFonts w:ascii="Arial" w:hAnsi="Arial" w:cs="Arial"/>
          <w:sz w:val="20"/>
        </w:rPr>
      </w:pPr>
      <w:r w:rsidRPr="00203228">
        <w:rPr>
          <w:rFonts w:ascii="Arial" w:hAnsi="Arial" w:cs="Arial"/>
          <w:sz w:val="20"/>
        </w:rPr>
        <w:t>2. Jedenfalls ist in einem solchen Fall das Entfernen von der Unfallstelle berechtigt.</w:t>
      </w:r>
    </w:p>
    <w:p w:rsidR="00203228" w:rsidRDefault="00203228" w:rsidP="00203228">
      <w:pPr>
        <w:pStyle w:val="StandardWeb"/>
        <w:spacing w:before="0" w:beforeAutospacing="0" w:after="0" w:afterAutospacing="0"/>
        <w:rPr>
          <w:rFonts w:ascii="Arial" w:hAnsi="Arial" w:cs="Arial"/>
          <w:sz w:val="20"/>
        </w:rPr>
      </w:pPr>
    </w:p>
    <w:p w:rsidR="00203228" w:rsidRPr="00203228" w:rsidRDefault="00203228" w:rsidP="00203228">
      <w:pPr>
        <w:pStyle w:val="StandardWeb"/>
        <w:spacing w:before="0" w:beforeAutospacing="0" w:after="0" w:afterAutospacing="0"/>
        <w:rPr>
          <w:rFonts w:ascii="Arial" w:hAnsi="Arial" w:cs="Arial"/>
          <w:sz w:val="20"/>
        </w:rPr>
      </w:pPr>
      <w:r w:rsidRPr="00203228">
        <w:rPr>
          <w:rFonts w:ascii="Arial" w:hAnsi="Arial" w:cs="Arial"/>
          <w:sz w:val="20"/>
        </w:rPr>
        <w:t>3. Mit der telefonischen Unterrichtung der Polizei am nächsten Morgen wird in diesem Fall einer etwaigen Obliegenheit zur unverzüglichen nachträglichen Ermöglichung von Feststellungen noch genügt.</w:t>
      </w:r>
    </w:p>
    <w:p w:rsidR="00203228" w:rsidRDefault="00203228" w:rsidP="00203228">
      <w:pPr>
        <w:pStyle w:val="StandardWeb"/>
        <w:spacing w:before="0" w:beforeAutospacing="0" w:after="0" w:afterAutospacing="0"/>
        <w:rPr>
          <w:rFonts w:ascii="Arial" w:hAnsi="Arial" w:cs="Arial"/>
          <w:sz w:val="20"/>
        </w:rPr>
      </w:pPr>
    </w:p>
    <w:p w:rsidR="00203228" w:rsidRDefault="00203228" w:rsidP="00203228">
      <w:pPr>
        <w:pStyle w:val="StandardWeb"/>
        <w:spacing w:before="0" w:beforeAutospacing="0" w:after="0" w:afterAutospacing="0"/>
        <w:jc w:val="center"/>
        <w:rPr>
          <w:rFonts w:ascii="Arial" w:hAnsi="Arial" w:cs="Arial"/>
          <w:b/>
          <w:sz w:val="20"/>
        </w:rPr>
      </w:pPr>
      <w:r w:rsidRPr="00203228">
        <w:rPr>
          <w:rFonts w:ascii="Arial" w:hAnsi="Arial" w:cs="Arial"/>
          <w:b/>
          <w:sz w:val="20"/>
        </w:rPr>
        <w:t>VII.</w:t>
      </w:r>
    </w:p>
    <w:p w:rsidR="00DB43BE" w:rsidRDefault="00DB43BE" w:rsidP="00203228">
      <w:pPr>
        <w:pStyle w:val="StandardWeb"/>
        <w:spacing w:before="0" w:beforeAutospacing="0" w:after="0" w:afterAutospacing="0"/>
        <w:jc w:val="center"/>
        <w:rPr>
          <w:rFonts w:ascii="Arial" w:hAnsi="Arial" w:cs="Arial"/>
          <w:b/>
          <w:sz w:val="20"/>
        </w:rPr>
      </w:pPr>
      <w:r>
        <w:rPr>
          <w:rFonts w:ascii="Arial" w:hAnsi="Arial" w:cs="Arial"/>
          <w:b/>
          <w:sz w:val="20"/>
        </w:rPr>
        <w:t xml:space="preserve">Geschäftliche Handlung von </w:t>
      </w:r>
      <w:proofErr w:type="spellStart"/>
      <w:r>
        <w:rPr>
          <w:rFonts w:ascii="Arial" w:hAnsi="Arial" w:cs="Arial"/>
          <w:b/>
          <w:sz w:val="20"/>
        </w:rPr>
        <w:t>Influencerin</w:t>
      </w:r>
      <w:proofErr w:type="spellEnd"/>
    </w:p>
    <w:p w:rsidR="00203228" w:rsidRPr="0076717A" w:rsidRDefault="0076717A" w:rsidP="00203228">
      <w:pPr>
        <w:pStyle w:val="StandardWeb"/>
        <w:spacing w:before="0" w:beforeAutospacing="0" w:after="0" w:afterAutospacing="0"/>
        <w:jc w:val="center"/>
        <w:rPr>
          <w:rFonts w:ascii="Arial" w:hAnsi="Arial" w:cs="Arial"/>
          <w:sz w:val="20"/>
        </w:rPr>
      </w:pPr>
      <w:r w:rsidRPr="0076717A">
        <w:rPr>
          <w:rFonts w:ascii="Arial" w:hAnsi="Arial" w:cs="Arial"/>
          <w:sz w:val="20"/>
        </w:rPr>
        <w:t>OLG Karlsruhe, Urteil vom 09. September 2020, Az. 6 U 38/19</w:t>
      </w:r>
    </w:p>
    <w:p w:rsidR="00203228" w:rsidRDefault="00203228" w:rsidP="00203228">
      <w:pPr>
        <w:pStyle w:val="StandardWeb"/>
        <w:spacing w:before="0" w:beforeAutospacing="0" w:after="0" w:afterAutospacing="0"/>
        <w:rPr>
          <w:rFonts w:ascii="Arial" w:hAnsi="Arial" w:cs="Arial"/>
          <w:sz w:val="20"/>
        </w:rPr>
      </w:pPr>
    </w:p>
    <w:p w:rsidR="0076717A" w:rsidRPr="0076717A" w:rsidRDefault="0076717A" w:rsidP="0076717A">
      <w:pPr>
        <w:pStyle w:val="StandardWeb"/>
        <w:spacing w:before="0" w:beforeAutospacing="0" w:after="0" w:afterAutospacing="0"/>
        <w:jc w:val="both"/>
        <w:rPr>
          <w:rFonts w:ascii="Arial" w:hAnsi="Arial" w:cs="Arial"/>
          <w:sz w:val="20"/>
        </w:rPr>
      </w:pPr>
      <w:r w:rsidRPr="0076717A">
        <w:rPr>
          <w:rFonts w:ascii="Arial" w:hAnsi="Arial" w:cs="Arial"/>
          <w:sz w:val="20"/>
        </w:rPr>
        <w:t xml:space="preserve">1. Veröffentlicht eine berufliche tätige </w:t>
      </w:r>
      <w:proofErr w:type="spellStart"/>
      <w:r w:rsidRPr="0076717A">
        <w:rPr>
          <w:rFonts w:ascii="Arial" w:hAnsi="Arial" w:cs="Arial"/>
          <w:sz w:val="20"/>
        </w:rPr>
        <w:t>Influencerin</w:t>
      </w:r>
      <w:proofErr w:type="spellEnd"/>
      <w:r w:rsidRPr="0076717A">
        <w:rPr>
          <w:rFonts w:ascii="Arial" w:hAnsi="Arial" w:cs="Arial"/>
          <w:sz w:val="20"/>
        </w:rPr>
        <w:t xml:space="preserve"> auf ihrem Instagram-Business-Account ein eigenes Foto, auf dem </w:t>
      </w:r>
      <w:proofErr w:type="spellStart"/>
      <w:r w:rsidRPr="0076717A">
        <w:rPr>
          <w:rFonts w:ascii="Arial" w:hAnsi="Arial" w:cs="Arial"/>
          <w:sz w:val="20"/>
        </w:rPr>
        <w:t>Tap</w:t>
      </w:r>
      <w:proofErr w:type="spellEnd"/>
      <w:r w:rsidRPr="0076717A">
        <w:rPr>
          <w:rFonts w:ascii="Arial" w:hAnsi="Arial" w:cs="Arial"/>
          <w:sz w:val="20"/>
        </w:rPr>
        <w:t>-Tags zum Instagram-Auftritt eines dritten Unternehmens führen, so handelt sie auch dann geschäftlich, wenn sie hierfür keine Geldzahlung des dritten Unternehmens erhält.</w:t>
      </w:r>
    </w:p>
    <w:p w:rsidR="0076717A" w:rsidRPr="0076717A" w:rsidRDefault="0076717A" w:rsidP="0076717A">
      <w:pPr>
        <w:pStyle w:val="StandardWeb"/>
        <w:spacing w:before="0" w:beforeAutospacing="0" w:after="0" w:afterAutospacing="0"/>
        <w:jc w:val="both"/>
        <w:rPr>
          <w:rFonts w:ascii="Arial" w:hAnsi="Arial" w:cs="Arial"/>
          <w:sz w:val="20"/>
        </w:rPr>
      </w:pPr>
      <w:r w:rsidRPr="0076717A">
        <w:rPr>
          <w:rFonts w:ascii="Arial" w:hAnsi="Arial" w:cs="Arial"/>
          <w:sz w:val="20"/>
        </w:rPr>
        <w:t xml:space="preserve">2. Zur Frage, ob der kommerzielle Zweck eines solchen Posts, auch die geschäftlichen Interessen der dritten Unternehmen zu fördern, für die Adressaten auf den ersten Blick und ohne jeden Zweifel erkennbar ist (hier verneint, wenn </w:t>
      </w:r>
      <w:proofErr w:type="spellStart"/>
      <w:r w:rsidRPr="0076717A">
        <w:rPr>
          <w:rFonts w:ascii="Arial" w:hAnsi="Arial" w:cs="Arial"/>
          <w:sz w:val="20"/>
        </w:rPr>
        <w:t>Tap</w:t>
      </w:r>
      <w:proofErr w:type="spellEnd"/>
      <w:r w:rsidRPr="0076717A">
        <w:rPr>
          <w:rFonts w:ascii="Arial" w:hAnsi="Arial" w:cs="Arial"/>
          <w:sz w:val="20"/>
        </w:rPr>
        <w:t>-Tags auch zum Hinweis auf Accounts eingesetzt werden, die keine eigenen Absatzzwecke gegenüber den Nutzern von Instagram verfolgen).</w:t>
      </w:r>
    </w:p>
    <w:p w:rsidR="00B10BD3" w:rsidRDefault="00B10BD3">
      <w:pPr>
        <w:rPr>
          <w:rFonts w:ascii="Arial" w:eastAsia="Times New Roman" w:hAnsi="Arial" w:cs="Arial"/>
          <w:sz w:val="20"/>
          <w:szCs w:val="24"/>
          <w:lang w:eastAsia="de-DE"/>
        </w:rPr>
      </w:pPr>
      <w:r>
        <w:rPr>
          <w:rFonts w:ascii="Arial" w:hAnsi="Arial" w:cs="Arial"/>
          <w:sz w:val="20"/>
        </w:rPr>
        <w:br w:type="page"/>
      </w:r>
    </w:p>
    <w:p w:rsidR="00203228" w:rsidRPr="00203228" w:rsidRDefault="00203228" w:rsidP="00203228">
      <w:pPr>
        <w:pStyle w:val="StandardWeb"/>
        <w:spacing w:before="0" w:beforeAutospacing="0" w:after="0" w:afterAutospacing="0"/>
        <w:rPr>
          <w:rFonts w:ascii="Arial" w:hAnsi="Arial" w:cs="Arial"/>
          <w:sz w:val="20"/>
        </w:rPr>
      </w:pPr>
    </w:p>
    <w:p w:rsidR="00A013B5" w:rsidRDefault="0076717A" w:rsidP="0076717A">
      <w:pPr>
        <w:spacing w:after="0" w:line="240" w:lineRule="auto"/>
        <w:jc w:val="center"/>
        <w:rPr>
          <w:rFonts w:ascii="Arial" w:hAnsi="Arial" w:cs="Arial"/>
          <w:b/>
          <w:sz w:val="20"/>
          <w:szCs w:val="21"/>
        </w:rPr>
      </w:pPr>
      <w:bookmarkStart w:id="3" w:name="DocInhaltEnde"/>
      <w:bookmarkEnd w:id="3"/>
      <w:r w:rsidRPr="0076717A">
        <w:rPr>
          <w:rFonts w:ascii="Arial" w:hAnsi="Arial" w:cs="Arial"/>
          <w:b/>
          <w:sz w:val="20"/>
          <w:szCs w:val="21"/>
        </w:rPr>
        <w:t>VIII.</w:t>
      </w:r>
    </w:p>
    <w:p w:rsidR="00DB43BE" w:rsidRDefault="00DB43BE" w:rsidP="0076717A">
      <w:pPr>
        <w:spacing w:after="0" w:line="240" w:lineRule="auto"/>
        <w:jc w:val="center"/>
        <w:rPr>
          <w:rFonts w:ascii="Arial" w:hAnsi="Arial" w:cs="Arial"/>
          <w:b/>
          <w:sz w:val="20"/>
          <w:szCs w:val="21"/>
        </w:rPr>
      </w:pPr>
      <w:r>
        <w:rPr>
          <w:rFonts w:ascii="Arial" w:hAnsi="Arial" w:cs="Arial"/>
          <w:b/>
          <w:sz w:val="20"/>
          <w:szCs w:val="21"/>
        </w:rPr>
        <w:t>WEG-Versammlung in Zeiten von Corona</w:t>
      </w:r>
    </w:p>
    <w:p w:rsidR="0076717A" w:rsidRPr="0076717A" w:rsidRDefault="0076717A" w:rsidP="0076717A">
      <w:pPr>
        <w:spacing w:after="0" w:line="240" w:lineRule="auto"/>
        <w:jc w:val="center"/>
        <w:rPr>
          <w:rFonts w:ascii="Arial" w:hAnsi="Arial" w:cs="Arial"/>
          <w:sz w:val="20"/>
          <w:szCs w:val="21"/>
        </w:rPr>
      </w:pPr>
      <w:r w:rsidRPr="0076717A">
        <w:rPr>
          <w:rFonts w:ascii="Arial" w:hAnsi="Arial" w:cs="Arial"/>
          <w:sz w:val="20"/>
          <w:szCs w:val="21"/>
        </w:rPr>
        <w:t>AG Kassel, Urteil vom 27. August 2020</w:t>
      </w:r>
      <w:r>
        <w:rPr>
          <w:rFonts w:ascii="Arial" w:hAnsi="Arial" w:cs="Arial"/>
          <w:sz w:val="20"/>
          <w:szCs w:val="21"/>
        </w:rPr>
        <w:t>, Az. 800 C 2563/20</w:t>
      </w:r>
    </w:p>
    <w:p w:rsidR="0076717A" w:rsidRDefault="0076717A" w:rsidP="0076717A">
      <w:pPr>
        <w:spacing w:after="0" w:line="240" w:lineRule="auto"/>
        <w:jc w:val="both"/>
        <w:rPr>
          <w:rFonts w:ascii="Arial" w:hAnsi="Arial" w:cs="Arial"/>
          <w:sz w:val="20"/>
          <w:szCs w:val="21"/>
        </w:rPr>
      </w:pPr>
    </w:p>
    <w:p w:rsidR="0076717A" w:rsidRPr="0076717A" w:rsidRDefault="0076717A" w:rsidP="0076717A">
      <w:pPr>
        <w:spacing w:after="0" w:line="240" w:lineRule="auto"/>
        <w:jc w:val="both"/>
        <w:rPr>
          <w:rFonts w:ascii="Arial" w:hAnsi="Arial" w:cs="Arial"/>
          <w:sz w:val="20"/>
          <w:szCs w:val="21"/>
        </w:rPr>
      </w:pPr>
      <w:r w:rsidRPr="0076717A">
        <w:rPr>
          <w:rFonts w:ascii="Arial" w:hAnsi="Arial" w:cs="Arial"/>
          <w:sz w:val="20"/>
          <w:szCs w:val="21"/>
        </w:rPr>
        <w:t>Die Corona-Pandemie rechtfertigt regelmäßig keine Beschränkung der Personenzahl auf einer Eigentümerversammlung auf einen Wert unterhalb der teilnahmeberechtigten Eigentümer incl. Verwalter. Spricht die Einladung zu einer Versammlung ohne ausreichende Rechtfertigung eine solche Beschränkung aus, so sind die auf der Versammlung getroffenen Beschlüsse wegen Eingriffs in den Kernbereich des Wohnungseigentums nichtig. Vorrangig ist ein Raum zu organisieren, in dem die Vorgaben der landesrechtlichen Corona-Schutzverordnungen eingehalten werden können.</w:t>
      </w:r>
    </w:p>
    <w:p w:rsidR="0076717A" w:rsidRDefault="0076717A" w:rsidP="00662A9E">
      <w:pPr>
        <w:spacing w:after="0" w:line="240" w:lineRule="auto"/>
        <w:jc w:val="both"/>
        <w:rPr>
          <w:rFonts w:ascii="Arial" w:hAnsi="Arial" w:cs="Arial"/>
          <w:sz w:val="20"/>
          <w:szCs w:val="21"/>
        </w:rPr>
      </w:pPr>
    </w:p>
    <w:p w:rsidR="0076717A" w:rsidRDefault="0076717A" w:rsidP="0076717A">
      <w:pPr>
        <w:spacing w:after="0" w:line="240" w:lineRule="auto"/>
        <w:jc w:val="center"/>
        <w:rPr>
          <w:rFonts w:ascii="Arial" w:hAnsi="Arial" w:cs="Arial"/>
          <w:b/>
          <w:sz w:val="20"/>
          <w:szCs w:val="21"/>
        </w:rPr>
      </w:pPr>
      <w:r w:rsidRPr="0076717A">
        <w:rPr>
          <w:rFonts w:ascii="Arial" w:hAnsi="Arial" w:cs="Arial"/>
          <w:b/>
          <w:sz w:val="20"/>
          <w:szCs w:val="21"/>
        </w:rPr>
        <w:t>IX.</w:t>
      </w:r>
    </w:p>
    <w:p w:rsidR="00DB43BE" w:rsidRDefault="00DB43BE" w:rsidP="0076717A">
      <w:pPr>
        <w:spacing w:after="0" w:line="240" w:lineRule="auto"/>
        <w:jc w:val="center"/>
        <w:rPr>
          <w:rFonts w:ascii="Arial" w:hAnsi="Arial" w:cs="Arial"/>
          <w:b/>
          <w:sz w:val="20"/>
          <w:szCs w:val="21"/>
        </w:rPr>
      </w:pPr>
      <w:r>
        <w:rPr>
          <w:rFonts w:ascii="Arial" w:hAnsi="Arial" w:cs="Arial"/>
          <w:b/>
          <w:sz w:val="20"/>
          <w:szCs w:val="21"/>
        </w:rPr>
        <w:t>Kommanditgesellschaft</w:t>
      </w:r>
    </w:p>
    <w:p w:rsidR="0076717A" w:rsidRPr="0076717A" w:rsidRDefault="0076717A" w:rsidP="0076717A">
      <w:pPr>
        <w:spacing w:after="0" w:line="240" w:lineRule="auto"/>
        <w:jc w:val="center"/>
        <w:rPr>
          <w:rFonts w:ascii="Arial" w:hAnsi="Arial" w:cs="Arial"/>
          <w:bCs/>
          <w:sz w:val="20"/>
          <w:szCs w:val="21"/>
        </w:rPr>
      </w:pPr>
      <w:r w:rsidRPr="0076717A">
        <w:rPr>
          <w:rFonts w:ascii="Arial" w:hAnsi="Arial" w:cs="Arial"/>
          <w:bCs/>
          <w:sz w:val="20"/>
          <w:szCs w:val="21"/>
        </w:rPr>
        <w:t>Bundesgerichtshof, Urteil vom 21. Juli 2020, Az. II ZR 175/19</w:t>
      </w:r>
    </w:p>
    <w:p w:rsidR="00A013B5" w:rsidRDefault="00A013B5" w:rsidP="00662A9E">
      <w:pPr>
        <w:spacing w:after="0" w:line="240" w:lineRule="auto"/>
        <w:jc w:val="both"/>
        <w:rPr>
          <w:rFonts w:ascii="Arial" w:hAnsi="Arial" w:cs="Arial"/>
          <w:sz w:val="20"/>
          <w:szCs w:val="21"/>
        </w:rPr>
      </w:pPr>
    </w:p>
    <w:p w:rsidR="0076717A" w:rsidRPr="0076717A" w:rsidRDefault="0076717A" w:rsidP="0076717A">
      <w:pPr>
        <w:spacing w:after="0" w:line="240" w:lineRule="auto"/>
        <w:jc w:val="both"/>
        <w:rPr>
          <w:rFonts w:ascii="Arial" w:hAnsi="Arial" w:cs="Arial"/>
          <w:sz w:val="20"/>
          <w:szCs w:val="21"/>
        </w:rPr>
      </w:pPr>
      <w:r w:rsidRPr="0076717A">
        <w:rPr>
          <w:rFonts w:ascii="Arial" w:hAnsi="Arial" w:cs="Arial"/>
          <w:sz w:val="20"/>
          <w:szCs w:val="21"/>
        </w:rPr>
        <w:t>Der Kommanditist kann gegen seine Inanspruchnahme entsprechend §422 Abs.1 Satz1, §362 Abs.1 BGB einwenden, dass durch Zahlungen anderer Kommanditisten der zur Deckung der von der Haftung erfassten Gesellschaftsschulden nötige Betrag bereits aufgebracht wurde. Die Erforderlichkeit der Inanspruchnahme des Kommanditisten ist nicht allein davon abhängig, ob diese Gesellschaftsschulden aus der aktuell zur Verfügung stehenden Insolvenzmasse gedeckt werden können.</w:t>
      </w:r>
    </w:p>
    <w:p w:rsidR="00A013B5" w:rsidRDefault="00A013B5" w:rsidP="00662A9E">
      <w:pPr>
        <w:spacing w:after="0" w:line="240" w:lineRule="auto"/>
        <w:jc w:val="both"/>
        <w:rPr>
          <w:rFonts w:ascii="Arial" w:hAnsi="Arial" w:cs="Arial"/>
          <w:sz w:val="20"/>
          <w:szCs w:val="21"/>
        </w:rPr>
      </w:pPr>
    </w:p>
    <w:p w:rsidR="00A013B5" w:rsidRDefault="0076717A" w:rsidP="0076717A">
      <w:pPr>
        <w:spacing w:after="0" w:line="240" w:lineRule="auto"/>
        <w:jc w:val="center"/>
        <w:rPr>
          <w:rFonts w:ascii="Arial" w:hAnsi="Arial" w:cs="Arial"/>
          <w:b/>
          <w:sz w:val="20"/>
          <w:szCs w:val="21"/>
        </w:rPr>
      </w:pPr>
      <w:r w:rsidRPr="0076717A">
        <w:rPr>
          <w:rFonts w:ascii="Arial" w:hAnsi="Arial" w:cs="Arial"/>
          <w:b/>
          <w:sz w:val="20"/>
          <w:szCs w:val="21"/>
        </w:rPr>
        <w:t>X.</w:t>
      </w:r>
    </w:p>
    <w:p w:rsidR="00DB43BE" w:rsidRDefault="00DB43BE" w:rsidP="0076717A">
      <w:pPr>
        <w:spacing w:after="0" w:line="240" w:lineRule="auto"/>
        <w:jc w:val="center"/>
        <w:rPr>
          <w:rFonts w:ascii="Arial" w:hAnsi="Arial" w:cs="Arial"/>
          <w:b/>
          <w:sz w:val="20"/>
          <w:szCs w:val="21"/>
        </w:rPr>
      </w:pPr>
      <w:r>
        <w:rPr>
          <w:rFonts w:ascii="Arial" w:hAnsi="Arial" w:cs="Arial"/>
          <w:b/>
          <w:sz w:val="20"/>
          <w:szCs w:val="21"/>
        </w:rPr>
        <w:t>Beschlussfassung in WEG</w:t>
      </w:r>
    </w:p>
    <w:p w:rsidR="0076717A" w:rsidRPr="0076717A" w:rsidRDefault="0076717A" w:rsidP="0076717A">
      <w:pPr>
        <w:spacing w:after="0" w:line="240" w:lineRule="auto"/>
        <w:jc w:val="center"/>
        <w:rPr>
          <w:rFonts w:ascii="Arial" w:hAnsi="Arial" w:cs="Arial"/>
          <w:bCs/>
          <w:sz w:val="20"/>
          <w:szCs w:val="21"/>
        </w:rPr>
      </w:pPr>
      <w:r w:rsidRPr="0076717A">
        <w:rPr>
          <w:rFonts w:ascii="Arial" w:hAnsi="Arial" w:cs="Arial"/>
          <w:bCs/>
          <w:sz w:val="20"/>
          <w:szCs w:val="21"/>
        </w:rPr>
        <w:t>Bundesgerichtshof, Urteil vom 29. Mai 2020, Az. V ZR 141/19</w:t>
      </w:r>
    </w:p>
    <w:p w:rsidR="00A013B5" w:rsidRDefault="00A013B5" w:rsidP="00662A9E">
      <w:pPr>
        <w:spacing w:after="0" w:line="240" w:lineRule="auto"/>
        <w:jc w:val="both"/>
        <w:rPr>
          <w:rFonts w:ascii="Arial" w:hAnsi="Arial" w:cs="Arial"/>
          <w:sz w:val="20"/>
          <w:szCs w:val="21"/>
        </w:rPr>
      </w:pPr>
    </w:p>
    <w:p w:rsidR="00A013B5" w:rsidRPr="0076717A" w:rsidRDefault="00A013B5" w:rsidP="0076717A">
      <w:pPr>
        <w:spacing w:after="0" w:line="240" w:lineRule="auto"/>
        <w:jc w:val="both"/>
        <w:rPr>
          <w:rFonts w:ascii="Arial" w:hAnsi="Arial" w:cs="Arial"/>
          <w:sz w:val="20"/>
          <w:szCs w:val="20"/>
          <w:lang w:eastAsia="de-DE"/>
        </w:rPr>
      </w:pPr>
      <w:r w:rsidRPr="0076717A">
        <w:rPr>
          <w:rFonts w:ascii="Arial" w:hAnsi="Arial" w:cs="Arial"/>
          <w:sz w:val="20"/>
          <w:szCs w:val="20"/>
          <w:lang w:eastAsia="de-DE"/>
        </w:rPr>
        <w:t xml:space="preserve">a) Ein Beschluss über eine bauliche Veränderung des gemeinschaftlichen Eigentums gemäß § 22 Abs. 1 WEG muss mit einfacher Mehrheit gefasst werden, wobei auch die nicht beeinträchtigten Eigentümer stimmberechtigt sind; daneben muss ggf. die Zustimmung derjenigen Eigentümer vorliegen, die über das in § 14 Nr. 1 WEG bestimmte Maß hinaus beeinträchtigt werden. </w:t>
      </w:r>
    </w:p>
    <w:p w:rsidR="00A013B5" w:rsidRPr="0076717A" w:rsidRDefault="00A013B5" w:rsidP="0076717A">
      <w:pPr>
        <w:spacing w:after="0" w:line="240" w:lineRule="auto"/>
        <w:jc w:val="both"/>
        <w:rPr>
          <w:rFonts w:ascii="Arial" w:hAnsi="Arial" w:cs="Arial"/>
          <w:sz w:val="20"/>
          <w:szCs w:val="20"/>
          <w:lang w:eastAsia="de-DE"/>
        </w:rPr>
      </w:pPr>
    </w:p>
    <w:p w:rsidR="00A013B5" w:rsidRPr="0076717A" w:rsidRDefault="00A013B5" w:rsidP="0076717A">
      <w:pPr>
        <w:spacing w:after="0" w:line="240" w:lineRule="auto"/>
        <w:jc w:val="both"/>
        <w:rPr>
          <w:rFonts w:ascii="Arial" w:hAnsi="Arial" w:cs="Arial"/>
          <w:sz w:val="20"/>
          <w:szCs w:val="20"/>
          <w:lang w:eastAsia="de-DE"/>
        </w:rPr>
      </w:pPr>
      <w:r w:rsidRPr="0076717A">
        <w:rPr>
          <w:rFonts w:ascii="Arial" w:hAnsi="Arial" w:cs="Arial"/>
          <w:sz w:val="20"/>
          <w:szCs w:val="20"/>
          <w:lang w:eastAsia="de-DE"/>
        </w:rPr>
        <w:t xml:space="preserve">b) Der Versammlungsleiter handelt nicht pflichtwidrig, wenn er einen mit einfacher Mehrheit gefassten Beschluss über die bauliche Veränderung des gemeinschaftlichen Eigentums gemäß § 22 Abs. 1 WEG als zustande gekommen verkündet, obwohl nicht alle Eigentümer zugestimmt haben, die über das in § 14 Nr. 1 WEG bestimmte Maß hinaus beeinträchtigt werden. </w:t>
      </w:r>
    </w:p>
    <w:p w:rsidR="00A013B5" w:rsidRPr="0076717A" w:rsidRDefault="00A013B5" w:rsidP="0076717A">
      <w:pPr>
        <w:spacing w:after="0" w:line="240" w:lineRule="auto"/>
        <w:jc w:val="both"/>
        <w:rPr>
          <w:rFonts w:ascii="Arial" w:hAnsi="Arial" w:cs="Arial"/>
          <w:sz w:val="20"/>
          <w:szCs w:val="20"/>
          <w:lang w:eastAsia="de-DE"/>
        </w:rPr>
      </w:pPr>
    </w:p>
    <w:p w:rsidR="00A013B5" w:rsidRPr="0076717A" w:rsidRDefault="00A013B5" w:rsidP="0076717A">
      <w:pPr>
        <w:spacing w:after="0" w:line="240" w:lineRule="auto"/>
        <w:jc w:val="both"/>
        <w:rPr>
          <w:rFonts w:ascii="Arial" w:hAnsi="Arial" w:cs="Arial"/>
          <w:sz w:val="20"/>
          <w:szCs w:val="20"/>
          <w:lang w:eastAsia="de-DE"/>
        </w:rPr>
      </w:pPr>
      <w:r w:rsidRPr="0076717A">
        <w:rPr>
          <w:rFonts w:ascii="Arial" w:hAnsi="Arial" w:cs="Arial"/>
          <w:sz w:val="20"/>
          <w:szCs w:val="20"/>
          <w:lang w:eastAsia="de-DE"/>
        </w:rPr>
        <w:t>c) Der Verwalter muss in Vorbereitung einer Beschlussfassung über die bauliche Veränderung des gemeinschaftlichen Eigentums gemäß § 22 Abs. 1 WEG prüfen, ob einzelne Wohnungseigentümer (und ggf. welche) ihre Zustimmung erteilen müssen, und er muss die Eigentümerversammlung vor der Beschlussfassung über das Ergebnis seiner Prüfung informieren und ggf. auf ein bestehendes Anfechtungsrisiko hinweisen.</w:t>
      </w:r>
    </w:p>
    <w:p w:rsidR="00A013B5" w:rsidRPr="0076717A" w:rsidRDefault="00A013B5" w:rsidP="0076717A">
      <w:pPr>
        <w:spacing w:after="0" w:line="240" w:lineRule="auto"/>
        <w:jc w:val="both"/>
        <w:rPr>
          <w:rFonts w:ascii="Arial" w:hAnsi="Arial" w:cs="Arial"/>
          <w:bCs/>
          <w:sz w:val="20"/>
          <w:szCs w:val="20"/>
          <w:lang w:eastAsia="de-DE"/>
        </w:rPr>
      </w:pPr>
    </w:p>
    <w:p w:rsidR="00A013B5" w:rsidRPr="0076717A" w:rsidRDefault="00A013B5" w:rsidP="0076717A">
      <w:pPr>
        <w:spacing w:after="0" w:line="240" w:lineRule="auto"/>
        <w:jc w:val="both"/>
        <w:rPr>
          <w:rFonts w:ascii="Arial" w:hAnsi="Arial" w:cs="Arial"/>
          <w:sz w:val="20"/>
          <w:szCs w:val="20"/>
          <w:lang w:eastAsia="de-DE"/>
        </w:rPr>
      </w:pPr>
      <w:r w:rsidRPr="0076717A">
        <w:rPr>
          <w:rFonts w:ascii="Arial" w:hAnsi="Arial" w:cs="Arial"/>
          <w:sz w:val="20"/>
          <w:szCs w:val="20"/>
          <w:lang w:eastAsia="de-DE"/>
        </w:rPr>
        <w:t xml:space="preserve">d) Klärt der Verwalter die Eigentümerversammlung vor einer Beschlussfassung gemäß § 22 Abs. 1 WEG nicht in gebotener Weise über ein bestehendes Zustimmungserfordernis auf, handelt er im Sinne von § 280 Abs. 1 BGB pflichtwidrig; einen Rechtsirrtum hat er aber nur dann im Sinne von § 276 BGB zu vertreten, wenn seine Einschätzung offenkundig falsch ist. </w:t>
      </w:r>
    </w:p>
    <w:p w:rsidR="00A013B5" w:rsidRPr="0076717A" w:rsidRDefault="00A013B5" w:rsidP="0076717A">
      <w:pPr>
        <w:spacing w:after="0" w:line="240" w:lineRule="auto"/>
        <w:jc w:val="both"/>
        <w:rPr>
          <w:rFonts w:ascii="Arial" w:hAnsi="Arial" w:cs="Arial"/>
          <w:sz w:val="20"/>
          <w:szCs w:val="20"/>
          <w:lang w:eastAsia="de-DE"/>
        </w:rPr>
      </w:pPr>
    </w:p>
    <w:p w:rsidR="00A013B5" w:rsidRPr="0076717A" w:rsidRDefault="00A013B5" w:rsidP="0076717A">
      <w:pPr>
        <w:spacing w:after="0" w:line="240" w:lineRule="auto"/>
        <w:jc w:val="both"/>
        <w:rPr>
          <w:rFonts w:ascii="Arial" w:hAnsi="Arial" w:cs="Arial"/>
          <w:sz w:val="20"/>
          <w:szCs w:val="20"/>
          <w:lang w:eastAsia="de-DE"/>
        </w:rPr>
      </w:pPr>
      <w:r w:rsidRPr="0076717A">
        <w:rPr>
          <w:rFonts w:ascii="Arial" w:hAnsi="Arial" w:cs="Arial"/>
          <w:sz w:val="20"/>
          <w:szCs w:val="20"/>
          <w:lang w:eastAsia="de-DE"/>
        </w:rPr>
        <w:t>e) Ist der Verwalter der Auffassung, dass die erforderliche Zustimmung einzelner Eigentümer fehlt, und hat er deshalb Bedenken gegen die Verkündung eines auf eine bauliche Veränderung des gemeinschaftlichen Eigentums gemäß § 22 Abs. 1 WEG gerichteten Beschlusses, für den sich eine einfache Mehrheit ausgesprochen hat, so kann er, statt das Zustandekommen des Beschlusses zu verkünden, eine Weisung der Wohnungseigentümer im Wege eines Geschäftsordnungsbeschlusses einholen.</w:t>
      </w:r>
    </w:p>
    <w:p w:rsidR="00A013B5" w:rsidRDefault="00A013B5" w:rsidP="00662A9E">
      <w:pPr>
        <w:spacing w:after="0" w:line="240" w:lineRule="auto"/>
        <w:jc w:val="both"/>
        <w:rPr>
          <w:rFonts w:ascii="Arial" w:hAnsi="Arial" w:cs="Arial"/>
          <w:sz w:val="20"/>
          <w:szCs w:val="21"/>
        </w:rPr>
      </w:pPr>
    </w:p>
    <w:p w:rsidR="0076717A" w:rsidRDefault="0076717A" w:rsidP="00662A9E">
      <w:pPr>
        <w:spacing w:after="0" w:line="240" w:lineRule="auto"/>
        <w:jc w:val="both"/>
        <w:rPr>
          <w:rFonts w:ascii="Arial" w:hAnsi="Arial" w:cs="Arial"/>
          <w:sz w:val="20"/>
          <w:szCs w:val="21"/>
        </w:rPr>
      </w:pPr>
    </w:p>
    <w:p w:rsidR="0076717A" w:rsidRPr="003661E3" w:rsidRDefault="0076717A" w:rsidP="0076717A">
      <w:pPr>
        <w:spacing w:after="0" w:line="240" w:lineRule="auto"/>
        <w:jc w:val="both"/>
        <w:rPr>
          <w:rFonts w:ascii="Arial" w:hAnsi="Arial" w:cs="Arial"/>
          <w:sz w:val="20"/>
          <w:szCs w:val="20"/>
          <w:lang w:eastAsia="de-DE"/>
        </w:rPr>
      </w:pPr>
      <w:r w:rsidRPr="003661E3">
        <w:rPr>
          <w:rFonts w:ascii="Arial" w:hAnsi="Arial" w:cs="Arial"/>
          <w:sz w:val="20"/>
          <w:szCs w:val="20"/>
          <w:lang w:eastAsia="de-DE"/>
        </w:rPr>
        <w:t>Für Rückfragen stehe ich Ihnen gerne zur Verfügung.</w:t>
      </w:r>
    </w:p>
    <w:p w:rsidR="0076717A" w:rsidRPr="003661E3" w:rsidRDefault="0076717A" w:rsidP="0076717A">
      <w:pPr>
        <w:spacing w:after="0" w:line="240" w:lineRule="auto"/>
        <w:jc w:val="both"/>
        <w:rPr>
          <w:rFonts w:ascii="Arial" w:hAnsi="Arial" w:cs="Arial"/>
          <w:sz w:val="20"/>
          <w:szCs w:val="20"/>
          <w:lang w:eastAsia="de-DE"/>
        </w:rPr>
      </w:pPr>
    </w:p>
    <w:p w:rsidR="0076717A" w:rsidRPr="00575A8B" w:rsidRDefault="0076717A" w:rsidP="0076717A">
      <w:pPr>
        <w:spacing w:after="0" w:line="240" w:lineRule="auto"/>
        <w:jc w:val="both"/>
        <w:rPr>
          <w:rFonts w:ascii="Arial" w:hAnsi="Arial" w:cs="Arial"/>
          <w:sz w:val="18"/>
          <w:szCs w:val="18"/>
          <w:lang w:eastAsia="de-DE"/>
        </w:rPr>
      </w:pPr>
      <w:r w:rsidRPr="00575A8B">
        <w:rPr>
          <w:rFonts w:ascii="Arial" w:hAnsi="Arial" w:cs="Arial"/>
          <w:sz w:val="18"/>
          <w:szCs w:val="18"/>
          <w:lang w:eastAsia="de-DE"/>
        </w:rPr>
        <w:t>Michael Henn</w:t>
      </w:r>
    </w:p>
    <w:p w:rsidR="0076717A" w:rsidRPr="00575A8B" w:rsidRDefault="0076717A" w:rsidP="0076717A">
      <w:pPr>
        <w:spacing w:after="0" w:line="240" w:lineRule="auto"/>
        <w:jc w:val="both"/>
        <w:rPr>
          <w:rFonts w:ascii="Arial" w:hAnsi="Arial" w:cs="Arial"/>
          <w:sz w:val="18"/>
          <w:szCs w:val="18"/>
          <w:lang w:eastAsia="de-DE"/>
        </w:rPr>
      </w:pPr>
      <w:r w:rsidRPr="00575A8B">
        <w:rPr>
          <w:rFonts w:ascii="Arial" w:hAnsi="Arial" w:cs="Arial"/>
          <w:sz w:val="18"/>
          <w:szCs w:val="18"/>
          <w:lang w:eastAsia="de-DE"/>
        </w:rPr>
        <w:t>Rechtsanwalt</w:t>
      </w:r>
    </w:p>
    <w:p w:rsidR="0076717A" w:rsidRPr="00575A8B" w:rsidRDefault="0076717A" w:rsidP="0076717A">
      <w:pPr>
        <w:spacing w:after="0" w:line="240" w:lineRule="auto"/>
        <w:jc w:val="both"/>
        <w:rPr>
          <w:rFonts w:ascii="Arial" w:hAnsi="Arial" w:cs="Arial"/>
          <w:sz w:val="18"/>
          <w:szCs w:val="18"/>
          <w:lang w:eastAsia="de-DE"/>
        </w:rPr>
      </w:pPr>
      <w:r w:rsidRPr="00575A8B">
        <w:rPr>
          <w:rFonts w:ascii="Arial" w:hAnsi="Arial" w:cs="Arial"/>
          <w:sz w:val="18"/>
          <w:szCs w:val="18"/>
          <w:lang w:eastAsia="de-DE"/>
        </w:rPr>
        <w:t>Fachanwalt für Erbrecht</w:t>
      </w:r>
    </w:p>
    <w:p w:rsidR="0076717A" w:rsidRPr="00575A8B" w:rsidRDefault="0076717A" w:rsidP="0076717A">
      <w:pPr>
        <w:spacing w:after="0" w:line="240" w:lineRule="auto"/>
        <w:jc w:val="both"/>
        <w:rPr>
          <w:rFonts w:ascii="Arial" w:hAnsi="Arial" w:cs="Arial"/>
          <w:sz w:val="18"/>
          <w:szCs w:val="18"/>
          <w:lang w:eastAsia="de-DE"/>
        </w:rPr>
      </w:pPr>
      <w:r w:rsidRPr="00575A8B">
        <w:rPr>
          <w:rFonts w:ascii="Arial" w:hAnsi="Arial" w:cs="Arial"/>
          <w:sz w:val="18"/>
          <w:szCs w:val="18"/>
          <w:lang w:eastAsia="de-DE"/>
        </w:rPr>
        <w:t xml:space="preserve">Fachanwalt für Arbeitsrecht </w:t>
      </w:r>
    </w:p>
    <w:p w:rsidR="0076717A" w:rsidRPr="00575A8B" w:rsidRDefault="0076717A" w:rsidP="0076717A">
      <w:pPr>
        <w:spacing w:after="0" w:line="240" w:lineRule="auto"/>
        <w:jc w:val="both"/>
        <w:rPr>
          <w:rFonts w:ascii="Arial" w:hAnsi="Arial" w:cs="Arial"/>
          <w:sz w:val="18"/>
          <w:szCs w:val="18"/>
          <w:lang w:eastAsia="de-DE"/>
        </w:rPr>
      </w:pPr>
      <w:r w:rsidRPr="00575A8B">
        <w:rPr>
          <w:rFonts w:ascii="Arial" w:hAnsi="Arial" w:cs="Arial"/>
          <w:sz w:val="18"/>
          <w:szCs w:val="18"/>
          <w:lang w:eastAsia="de-DE"/>
        </w:rPr>
        <w:t xml:space="preserve">Schriftleiter mittelstandsdepesche </w:t>
      </w:r>
    </w:p>
    <w:p w:rsidR="0076717A" w:rsidRPr="00575A8B" w:rsidRDefault="0076717A" w:rsidP="0076717A">
      <w:pPr>
        <w:spacing w:after="0" w:line="240" w:lineRule="auto"/>
        <w:jc w:val="both"/>
        <w:rPr>
          <w:rFonts w:ascii="Arial" w:hAnsi="Arial" w:cs="Arial"/>
          <w:sz w:val="18"/>
          <w:szCs w:val="18"/>
          <w:lang w:eastAsia="de-DE"/>
        </w:rPr>
      </w:pPr>
      <w:r w:rsidRPr="00575A8B">
        <w:rPr>
          <w:rFonts w:ascii="Arial" w:hAnsi="Arial" w:cs="Arial"/>
          <w:sz w:val="18"/>
          <w:szCs w:val="18"/>
          <w:lang w:eastAsia="de-DE"/>
        </w:rPr>
        <w:lastRenderedPageBreak/>
        <w:t xml:space="preserve">Rechtsanwälte Dr. Gaupp &amp; </w:t>
      </w:r>
      <w:proofErr w:type="spellStart"/>
      <w:r w:rsidRPr="00575A8B">
        <w:rPr>
          <w:rFonts w:ascii="Arial" w:hAnsi="Arial" w:cs="Arial"/>
          <w:sz w:val="18"/>
          <w:szCs w:val="18"/>
          <w:lang w:eastAsia="de-DE"/>
        </w:rPr>
        <w:t>Coll</w:t>
      </w:r>
      <w:proofErr w:type="spellEnd"/>
      <w:r w:rsidRPr="00575A8B">
        <w:rPr>
          <w:rFonts w:ascii="Arial" w:hAnsi="Arial" w:cs="Arial"/>
          <w:sz w:val="18"/>
          <w:szCs w:val="18"/>
          <w:lang w:eastAsia="de-DE"/>
        </w:rPr>
        <w:t>.</w:t>
      </w:r>
    </w:p>
    <w:p w:rsidR="0076717A" w:rsidRPr="00575A8B" w:rsidRDefault="0076717A" w:rsidP="0076717A">
      <w:pPr>
        <w:spacing w:after="0" w:line="240" w:lineRule="auto"/>
        <w:jc w:val="both"/>
        <w:rPr>
          <w:rFonts w:ascii="Arial" w:hAnsi="Arial" w:cs="Arial"/>
          <w:sz w:val="18"/>
          <w:szCs w:val="18"/>
          <w:lang w:eastAsia="de-DE"/>
        </w:rPr>
      </w:pPr>
      <w:r w:rsidRPr="00575A8B">
        <w:rPr>
          <w:rFonts w:ascii="Arial" w:hAnsi="Arial" w:cs="Arial"/>
          <w:sz w:val="18"/>
          <w:szCs w:val="18"/>
          <w:lang w:eastAsia="de-DE"/>
        </w:rPr>
        <w:t xml:space="preserve">Kronprinzstr. 14 </w:t>
      </w:r>
      <w:r w:rsidRPr="00575A8B">
        <w:rPr>
          <w:rFonts w:ascii="Arial" w:hAnsi="Arial" w:cs="Arial"/>
          <w:sz w:val="18"/>
          <w:szCs w:val="18"/>
          <w:lang w:eastAsia="de-DE"/>
        </w:rPr>
        <w:tab/>
        <w:t>70173 Stuttgart</w:t>
      </w:r>
    </w:p>
    <w:p w:rsidR="0076717A" w:rsidRPr="00575A8B" w:rsidRDefault="0076717A" w:rsidP="0076717A">
      <w:pPr>
        <w:spacing w:after="0" w:line="240" w:lineRule="auto"/>
        <w:jc w:val="both"/>
        <w:rPr>
          <w:rFonts w:ascii="Arial" w:hAnsi="Arial" w:cs="Arial"/>
          <w:sz w:val="18"/>
          <w:szCs w:val="18"/>
          <w:lang w:eastAsia="de-DE"/>
        </w:rPr>
      </w:pPr>
      <w:r w:rsidRPr="00575A8B">
        <w:rPr>
          <w:rFonts w:ascii="Arial" w:hAnsi="Arial" w:cs="Arial"/>
          <w:sz w:val="18"/>
          <w:szCs w:val="18"/>
          <w:lang w:eastAsia="de-DE"/>
        </w:rPr>
        <w:t>Tel.: 0711/ 30 58 93-0</w:t>
      </w:r>
      <w:r w:rsidRPr="00575A8B">
        <w:rPr>
          <w:rFonts w:ascii="Arial" w:hAnsi="Arial" w:cs="Arial"/>
          <w:sz w:val="18"/>
          <w:szCs w:val="18"/>
          <w:lang w:eastAsia="de-DE"/>
        </w:rPr>
        <w:tab/>
      </w:r>
      <w:r w:rsidRPr="00575A8B">
        <w:rPr>
          <w:rFonts w:ascii="Arial" w:hAnsi="Arial" w:cs="Arial"/>
          <w:sz w:val="18"/>
          <w:szCs w:val="18"/>
          <w:lang w:eastAsia="de-DE"/>
        </w:rPr>
        <w:tab/>
        <w:t>Fax: 0711/ 30 58 93-11</w:t>
      </w:r>
    </w:p>
    <w:p w:rsidR="0076717A" w:rsidRPr="00575A8B" w:rsidRDefault="0076717A" w:rsidP="0076717A">
      <w:pPr>
        <w:spacing w:after="0" w:line="240" w:lineRule="auto"/>
        <w:jc w:val="both"/>
        <w:rPr>
          <w:rFonts w:ascii="Arial" w:hAnsi="Arial" w:cs="Arial"/>
          <w:sz w:val="18"/>
          <w:szCs w:val="18"/>
          <w:lang w:eastAsia="de-DE"/>
        </w:rPr>
      </w:pPr>
      <w:r w:rsidRPr="00575A8B">
        <w:rPr>
          <w:rFonts w:ascii="Arial" w:hAnsi="Arial" w:cs="Arial"/>
          <w:sz w:val="18"/>
          <w:szCs w:val="18"/>
          <w:lang w:eastAsia="de-DE"/>
        </w:rPr>
        <w:t xml:space="preserve">E-Mail: </w:t>
      </w:r>
      <w:hyperlink r:id="rId8" w:history="1">
        <w:r w:rsidRPr="00575A8B">
          <w:rPr>
            <w:rFonts w:ascii="Arial" w:hAnsi="Arial" w:cs="Arial"/>
            <w:color w:val="0563C1"/>
            <w:sz w:val="18"/>
            <w:szCs w:val="18"/>
            <w:u w:val="single"/>
            <w:lang w:eastAsia="de-DE"/>
          </w:rPr>
          <w:t>henn@drgaupp.de</w:t>
        </w:r>
      </w:hyperlink>
      <w:r w:rsidRPr="00575A8B">
        <w:rPr>
          <w:rFonts w:ascii="Arial" w:hAnsi="Arial" w:cs="Arial"/>
          <w:sz w:val="18"/>
          <w:szCs w:val="18"/>
          <w:lang w:eastAsia="de-DE"/>
        </w:rPr>
        <w:tab/>
      </w:r>
      <w:r>
        <w:rPr>
          <w:rFonts w:ascii="Arial" w:hAnsi="Arial" w:cs="Arial"/>
          <w:sz w:val="18"/>
          <w:szCs w:val="18"/>
          <w:lang w:eastAsia="de-DE"/>
        </w:rPr>
        <w:tab/>
      </w:r>
      <w:hyperlink r:id="rId9" w:history="1">
        <w:r w:rsidRPr="00575A8B">
          <w:rPr>
            <w:rFonts w:ascii="Arial" w:hAnsi="Arial" w:cs="Arial"/>
            <w:color w:val="0563C1"/>
            <w:sz w:val="18"/>
            <w:szCs w:val="18"/>
            <w:u w:val="single"/>
            <w:lang w:eastAsia="de-DE"/>
          </w:rPr>
          <w:t>www.drgaupp.de</w:t>
        </w:r>
      </w:hyperlink>
    </w:p>
    <w:p w:rsidR="0076717A" w:rsidRDefault="0076717A" w:rsidP="00662A9E">
      <w:pPr>
        <w:spacing w:after="0" w:line="240" w:lineRule="auto"/>
        <w:jc w:val="both"/>
        <w:rPr>
          <w:rFonts w:ascii="Arial" w:hAnsi="Arial" w:cs="Arial"/>
          <w:sz w:val="20"/>
          <w:szCs w:val="21"/>
        </w:rPr>
      </w:pPr>
    </w:p>
    <w:sectPr w:rsidR="0076717A">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A9E" w:rsidRDefault="00662A9E" w:rsidP="00662A9E">
      <w:pPr>
        <w:spacing w:after="0" w:line="240" w:lineRule="auto"/>
      </w:pPr>
      <w:r>
        <w:separator/>
      </w:r>
    </w:p>
  </w:endnote>
  <w:endnote w:type="continuationSeparator" w:id="0">
    <w:p w:rsidR="00662A9E" w:rsidRDefault="00662A9E" w:rsidP="00662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A9E" w:rsidRDefault="00662A9E" w:rsidP="00662A9E">
      <w:pPr>
        <w:spacing w:after="0" w:line="240" w:lineRule="auto"/>
      </w:pPr>
      <w:r>
        <w:separator/>
      </w:r>
    </w:p>
  </w:footnote>
  <w:footnote w:type="continuationSeparator" w:id="0">
    <w:p w:rsidR="00662A9E" w:rsidRDefault="00662A9E" w:rsidP="00662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50C" w:rsidRPr="0055050C" w:rsidRDefault="0055050C" w:rsidP="0055050C">
    <w:pPr>
      <w:tabs>
        <w:tab w:val="center" w:pos="4819"/>
        <w:tab w:val="right" w:pos="9071"/>
      </w:tabs>
      <w:spacing w:after="0" w:line="240" w:lineRule="auto"/>
      <w:jc w:val="center"/>
      <w:rPr>
        <w:rFonts w:ascii="Arial" w:eastAsia="Times New Roman" w:hAnsi="Arial" w:cs="Arial"/>
        <w:b/>
        <w:bCs/>
        <w:sz w:val="28"/>
        <w:szCs w:val="28"/>
        <w:lang w:eastAsia="de-DE"/>
      </w:rPr>
    </w:pPr>
    <w:r w:rsidRPr="0055050C">
      <w:rPr>
        <w:rFonts w:ascii="Arial" w:eastAsia="Times New Roman" w:hAnsi="Arial" w:cs="Arial"/>
        <w:b/>
        <w:bCs/>
        <w:sz w:val="28"/>
        <w:szCs w:val="28"/>
        <w:lang w:eastAsia="de-DE"/>
      </w:rPr>
      <w:t>Unternehmensdepesche 08/09-2020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9F4"/>
    <w:multiLevelType w:val="multilevel"/>
    <w:tmpl w:val="69DC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A0D1C"/>
    <w:multiLevelType w:val="hybridMultilevel"/>
    <w:tmpl w:val="3884750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0DE1B79"/>
    <w:multiLevelType w:val="multilevel"/>
    <w:tmpl w:val="506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CD495C"/>
    <w:multiLevelType w:val="multilevel"/>
    <w:tmpl w:val="0B9A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B0503"/>
    <w:multiLevelType w:val="multilevel"/>
    <w:tmpl w:val="D42C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65CE5"/>
    <w:multiLevelType w:val="multilevel"/>
    <w:tmpl w:val="32F2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992"/>
    <w:rsid w:val="00203228"/>
    <w:rsid w:val="00363992"/>
    <w:rsid w:val="005407EE"/>
    <w:rsid w:val="0055050C"/>
    <w:rsid w:val="00662A9E"/>
    <w:rsid w:val="0076717A"/>
    <w:rsid w:val="00932100"/>
    <w:rsid w:val="00997341"/>
    <w:rsid w:val="009C0973"/>
    <w:rsid w:val="00A013B5"/>
    <w:rsid w:val="00B10BD3"/>
    <w:rsid w:val="00DB43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C9F66-A500-4E88-9502-DD7FD288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A013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semiHidden/>
    <w:unhideWhenUsed/>
    <w:qFormat/>
    <w:rsid w:val="00363992"/>
    <w:pPr>
      <w:spacing w:after="75" w:line="240" w:lineRule="atLeast"/>
      <w:outlineLvl w:val="2"/>
    </w:pPr>
    <w:rPr>
      <w:rFonts w:ascii="Times New Roman" w:hAnsi="Times New Roman" w:cs="Times New Roman"/>
      <w:b/>
      <w:bCs/>
      <w:sz w:val="24"/>
      <w:szCs w:val="24"/>
      <w:lang w:eastAsia="de-DE"/>
    </w:rPr>
  </w:style>
  <w:style w:type="paragraph" w:styleId="berschrift4">
    <w:name w:val="heading 4"/>
    <w:basedOn w:val="Standard"/>
    <w:link w:val="berschrift4Zchn"/>
    <w:uiPriority w:val="9"/>
    <w:semiHidden/>
    <w:unhideWhenUsed/>
    <w:qFormat/>
    <w:rsid w:val="00363992"/>
    <w:pPr>
      <w:spacing w:after="150" w:line="240" w:lineRule="auto"/>
      <w:outlineLvl w:val="3"/>
    </w:pPr>
    <w:rPr>
      <w:rFonts w:ascii="Times New Roman" w:hAnsi="Times New Roman" w:cs="Times New Roman"/>
      <w:color w:val="666666"/>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sid w:val="00363992"/>
    <w:rPr>
      <w:rFonts w:ascii="Times New Roman" w:hAnsi="Times New Roman" w:cs="Times New Roman"/>
      <w:b/>
      <w:bCs/>
      <w:sz w:val="24"/>
      <w:szCs w:val="24"/>
      <w:lang w:eastAsia="de-DE"/>
    </w:rPr>
  </w:style>
  <w:style w:type="character" w:customStyle="1" w:styleId="berschrift4Zchn">
    <w:name w:val="Überschrift 4 Zchn"/>
    <w:basedOn w:val="Absatz-Standardschriftart"/>
    <w:link w:val="berschrift4"/>
    <w:uiPriority w:val="9"/>
    <w:semiHidden/>
    <w:rsid w:val="00363992"/>
    <w:rPr>
      <w:rFonts w:ascii="Times New Roman" w:hAnsi="Times New Roman" w:cs="Times New Roman"/>
      <w:color w:val="666666"/>
      <w:sz w:val="21"/>
      <w:szCs w:val="21"/>
      <w:lang w:eastAsia="de-DE"/>
    </w:rPr>
  </w:style>
  <w:style w:type="paragraph" w:styleId="Listenabsatz">
    <w:name w:val="List Paragraph"/>
    <w:basedOn w:val="Standard"/>
    <w:uiPriority w:val="34"/>
    <w:qFormat/>
    <w:rsid w:val="005407EE"/>
    <w:pPr>
      <w:ind w:left="720"/>
      <w:contextualSpacing/>
    </w:pPr>
  </w:style>
  <w:style w:type="paragraph" w:styleId="Kopfzeile">
    <w:name w:val="header"/>
    <w:basedOn w:val="Standard"/>
    <w:link w:val="KopfzeileZchn"/>
    <w:uiPriority w:val="99"/>
    <w:unhideWhenUsed/>
    <w:rsid w:val="00662A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2A9E"/>
  </w:style>
  <w:style w:type="paragraph" w:styleId="Fuzeile">
    <w:name w:val="footer"/>
    <w:basedOn w:val="Standard"/>
    <w:link w:val="FuzeileZchn"/>
    <w:uiPriority w:val="99"/>
    <w:unhideWhenUsed/>
    <w:rsid w:val="00662A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2A9E"/>
  </w:style>
  <w:style w:type="character" w:customStyle="1" w:styleId="berschrift2Zchn">
    <w:name w:val="Überschrift 2 Zchn"/>
    <w:basedOn w:val="Absatz-Standardschriftart"/>
    <w:link w:val="berschrift2"/>
    <w:uiPriority w:val="9"/>
    <w:semiHidden/>
    <w:rsid w:val="00A013B5"/>
    <w:rPr>
      <w:rFonts w:asciiTheme="majorHAnsi" w:eastAsiaTheme="majorEastAsia" w:hAnsiTheme="majorHAnsi" w:cstheme="majorBidi"/>
      <w:color w:val="2E74B5" w:themeColor="accent1" w:themeShade="BF"/>
      <w:sz w:val="26"/>
      <w:szCs w:val="26"/>
    </w:rPr>
  </w:style>
  <w:style w:type="character" w:styleId="Fett">
    <w:name w:val="Strong"/>
    <w:basedOn w:val="Absatz-Standardschriftart"/>
    <w:uiPriority w:val="22"/>
    <w:qFormat/>
    <w:rsid w:val="00A013B5"/>
    <w:rPr>
      <w:b/>
      <w:bCs/>
    </w:rPr>
  </w:style>
  <w:style w:type="character" w:styleId="Hyperlink">
    <w:name w:val="Hyperlink"/>
    <w:basedOn w:val="Absatz-Standardschriftart"/>
    <w:uiPriority w:val="99"/>
    <w:unhideWhenUsed/>
    <w:rsid w:val="00A013B5"/>
    <w:rPr>
      <w:color w:val="0000FF"/>
      <w:u w:val="single"/>
    </w:rPr>
  </w:style>
  <w:style w:type="character" w:customStyle="1" w:styleId="doclink">
    <w:name w:val="doclink"/>
    <w:basedOn w:val="Absatz-Standardschriftart"/>
    <w:rsid w:val="00A013B5"/>
  </w:style>
  <w:style w:type="paragraph" w:styleId="StandardWeb">
    <w:name w:val="Normal (Web)"/>
    <w:basedOn w:val="Standard"/>
    <w:uiPriority w:val="99"/>
    <w:semiHidden/>
    <w:unhideWhenUsed/>
    <w:rsid w:val="00A013B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unsichtbar">
    <w:name w:val="unsichtbar"/>
    <w:basedOn w:val="Absatz-Standardschriftart"/>
    <w:rsid w:val="00A013B5"/>
  </w:style>
  <w:style w:type="character" w:styleId="Hervorhebung">
    <w:name w:val="Emphasis"/>
    <w:basedOn w:val="Absatz-Standardschriftart"/>
    <w:uiPriority w:val="20"/>
    <w:qFormat/>
    <w:rsid w:val="00A013B5"/>
    <w:rPr>
      <w:i/>
      <w:iCs/>
    </w:rPr>
  </w:style>
  <w:style w:type="character" w:customStyle="1" w:styleId="doclayoutpermalinkemphasize">
    <w:name w:val="doclayoutpermalinkemphasize"/>
    <w:basedOn w:val="Absatz-Standardschriftart"/>
    <w:rsid w:val="00A013B5"/>
  </w:style>
  <w:style w:type="character" w:customStyle="1" w:styleId="doclayoutpermalinkitemlink">
    <w:name w:val="doclayoutpermalinkitemlink"/>
    <w:basedOn w:val="Absatz-Standardschriftart"/>
    <w:rsid w:val="00A01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94645">
      <w:bodyDiv w:val="1"/>
      <w:marLeft w:val="0"/>
      <w:marRight w:val="0"/>
      <w:marTop w:val="0"/>
      <w:marBottom w:val="0"/>
      <w:divBdr>
        <w:top w:val="none" w:sz="0" w:space="0" w:color="auto"/>
        <w:left w:val="none" w:sz="0" w:space="0" w:color="auto"/>
        <w:bottom w:val="none" w:sz="0" w:space="0" w:color="auto"/>
        <w:right w:val="none" w:sz="0" w:space="0" w:color="auto"/>
      </w:divBdr>
    </w:div>
    <w:div w:id="487281478">
      <w:bodyDiv w:val="1"/>
      <w:marLeft w:val="0"/>
      <w:marRight w:val="0"/>
      <w:marTop w:val="0"/>
      <w:marBottom w:val="0"/>
      <w:divBdr>
        <w:top w:val="none" w:sz="0" w:space="0" w:color="auto"/>
        <w:left w:val="none" w:sz="0" w:space="0" w:color="auto"/>
        <w:bottom w:val="none" w:sz="0" w:space="0" w:color="auto"/>
        <w:right w:val="none" w:sz="0" w:space="0" w:color="auto"/>
      </w:divBdr>
    </w:div>
    <w:div w:id="753554694">
      <w:bodyDiv w:val="1"/>
      <w:marLeft w:val="0"/>
      <w:marRight w:val="0"/>
      <w:marTop w:val="0"/>
      <w:marBottom w:val="0"/>
      <w:divBdr>
        <w:top w:val="none" w:sz="0" w:space="0" w:color="auto"/>
        <w:left w:val="none" w:sz="0" w:space="0" w:color="auto"/>
        <w:bottom w:val="none" w:sz="0" w:space="0" w:color="auto"/>
        <w:right w:val="none" w:sz="0" w:space="0" w:color="auto"/>
      </w:divBdr>
      <w:divsChild>
        <w:div w:id="1387677604">
          <w:marLeft w:val="0"/>
          <w:marRight w:val="0"/>
          <w:marTop w:val="0"/>
          <w:marBottom w:val="0"/>
          <w:divBdr>
            <w:top w:val="none" w:sz="0" w:space="0" w:color="auto"/>
            <w:left w:val="none" w:sz="0" w:space="0" w:color="auto"/>
            <w:bottom w:val="none" w:sz="0" w:space="0" w:color="auto"/>
            <w:right w:val="none" w:sz="0" w:space="0" w:color="auto"/>
          </w:divBdr>
          <w:divsChild>
            <w:div w:id="1200563">
              <w:marLeft w:val="0"/>
              <w:marRight w:val="0"/>
              <w:marTop w:val="0"/>
              <w:marBottom w:val="0"/>
              <w:divBdr>
                <w:top w:val="none" w:sz="0" w:space="0" w:color="auto"/>
                <w:left w:val="none" w:sz="0" w:space="0" w:color="auto"/>
                <w:bottom w:val="none" w:sz="0" w:space="0" w:color="auto"/>
                <w:right w:val="none" w:sz="0" w:space="0" w:color="auto"/>
              </w:divBdr>
              <w:divsChild>
                <w:div w:id="378406075">
                  <w:marLeft w:val="0"/>
                  <w:marRight w:val="0"/>
                  <w:marTop w:val="0"/>
                  <w:marBottom w:val="0"/>
                  <w:divBdr>
                    <w:top w:val="none" w:sz="0" w:space="0" w:color="auto"/>
                    <w:left w:val="none" w:sz="0" w:space="0" w:color="auto"/>
                    <w:bottom w:val="none" w:sz="0" w:space="0" w:color="auto"/>
                    <w:right w:val="none" w:sz="0" w:space="0" w:color="auto"/>
                  </w:divBdr>
                  <w:divsChild>
                    <w:div w:id="3645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09506">
          <w:marLeft w:val="0"/>
          <w:marRight w:val="0"/>
          <w:marTop w:val="0"/>
          <w:marBottom w:val="0"/>
          <w:divBdr>
            <w:top w:val="none" w:sz="0" w:space="0" w:color="auto"/>
            <w:left w:val="none" w:sz="0" w:space="0" w:color="auto"/>
            <w:bottom w:val="none" w:sz="0" w:space="0" w:color="auto"/>
            <w:right w:val="none" w:sz="0" w:space="0" w:color="auto"/>
          </w:divBdr>
        </w:div>
        <w:div w:id="2134247986">
          <w:marLeft w:val="0"/>
          <w:marRight w:val="0"/>
          <w:marTop w:val="0"/>
          <w:marBottom w:val="0"/>
          <w:divBdr>
            <w:top w:val="none" w:sz="0" w:space="0" w:color="auto"/>
            <w:left w:val="none" w:sz="0" w:space="0" w:color="auto"/>
            <w:bottom w:val="none" w:sz="0" w:space="0" w:color="auto"/>
            <w:right w:val="none" w:sz="0" w:space="0" w:color="auto"/>
          </w:divBdr>
          <w:divsChild>
            <w:div w:id="1289242531">
              <w:marLeft w:val="0"/>
              <w:marRight w:val="0"/>
              <w:marTop w:val="0"/>
              <w:marBottom w:val="0"/>
              <w:divBdr>
                <w:top w:val="none" w:sz="0" w:space="0" w:color="auto"/>
                <w:left w:val="none" w:sz="0" w:space="0" w:color="auto"/>
                <w:bottom w:val="none" w:sz="0" w:space="0" w:color="auto"/>
                <w:right w:val="none" w:sz="0" w:space="0" w:color="auto"/>
              </w:divBdr>
              <w:divsChild>
                <w:div w:id="2146196965">
                  <w:marLeft w:val="-300"/>
                  <w:marRight w:val="0"/>
                  <w:marTop w:val="60"/>
                  <w:marBottom w:val="0"/>
                  <w:divBdr>
                    <w:top w:val="none" w:sz="0" w:space="0" w:color="auto"/>
                    <w:left w:val="none" w:sz="0" w:space="0" w:color="auto"/>
                    <w:bottom w:val="none" w:sz="0" w:space="0" w:color="auto"/>
                    <w:right w:val="none" w:sz="0" w:space="0" w:color="auto"/>
                  </w:divBdr>
                </w:div>
              </w:divsChild>
            </w:div>
            <w:div w:id="1619289715">
              <w:marLeft w:val="0"/>
              <w:marRight w:val="0"/>
              <w:marTop w:val="0"/>
              <w:marBottom w:val="0"/>
              <w:divBdr>
                <w:top w:val="none" w:sz="0" w:space="0" w:color="auto"/>
                <w:left w:val="none" w:sz="0" w:space="0" w:color="auto"/>
                <w:bottom w:val="none" w:sz="0" w:space="0" w:color="auto"/>
                <w:right w:val="none" w:sz="0" w:space="0" w:color="auto"/>
              </w:divBdr>
              <w:divsChild>
                <w:div w:id="1328941109">
                  <w:marLeft w:val="0"/>
                  <w:marRight w:val="0"/>
                  <w:marTop w:val="0"/>
                  <w:marBottom w:val="0"/>
                  <w:divBdr>
                    <w:top w:val="none" w:sz="0" w:space="0" w:color="auto"/>
                    <w:left w:val="none" w:sz="0" w:space="0" w:color="auto"/>
                    <w:bottom w:val="none" w:sz="0" w:space="0" w:color="auto"/>
                    <w:right w:val="none" w:sz="0" w:space="0" w:color="auto"/>
                  </w:divBdr>
                </w:div>
                <w:div w:id="1077824166">
                  <w:marLeft w:val="0"/>
                  <w:marRight w:val="0"/>
                  <w:marTop w:val="0"/>
                  <w:marBottom w:val="0"/>
                  <w:divBdr>
                    <w:top w:val="none" w:sz="0" w:space="0" w:color="auto"/>
                    <w:left w:val="none" w:sz="0" w:space="0" w:color="auto"/>
                    <w:bottom w:val="none" w:sz="0" w:space="0" w:color="auto"/>
                    <w:right w:val="none" w:sz="0" w:space="0" w:color="auto"/>
                  </w:divBdr>
                  <w:divsChild>
                    <w:div w:id="15600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536815">
      <w:bodyDiv w:val="1"/>
      <w:marLeft w:val="0"/>
      <w:marRight w:val="0"/>
      <w:marTop w:val="0"/>
      <w:marBottom w:val="0"/>
      <w:divBdr>
        <w:top w:val="none" w:sz="0" w:space="0" w:color="auto"/>
        <w:left w:val="none" w:sz="0" w:space="0" w:color="auto"/>
        <w:bottom w:val="none" w:sz="0" w:space="0" w:color="auto"/>
        <w:right w:val="none" w:sz="0" w:space="0" w:color="auto"/>
      </w:divBdr>
      <w:divsChild>
        <w:div w:id="1659655134">
          <w:marLeft w:val="0"/>
          <w:marRight w:val="0"/>
          <w:marTop w:val="0"/>
          <w:marBottom w:val="0"/>
          <w:divBdr>
            <w:top w:val="none" w:sz="0" w:space="0" w:color="auto"/>
            <w:left w:val="none" w:sz="0" w:space="0" w:color="auto"/>
            <w:bottom w:val="none" w:sz="0" w:space="0" w:color="auto"/>
            <w:right w:val="none" w:sz="0" w:space="0" w:color="auto"/>
          </w:divBdr>
          <w:divsChild>
            <w:div w:id="350759615">
              <w:marLeft w:val="0"/>
              <w:marRight w:val="0"/>
              <w:marTop w:val="0"/>
              <w:marBottom w:val="0"/>
              <w:divBdr>
                <w:top w:val="none" w:sz="0" w:space="0" w:color="auto"/>
                <w:left w:val="none" w:sz="0" w:space="0" w:color="auto"/>
                <w:bottom w:val="none" w:sz="0" w:space="0" w:color="auto"/>
                <w:right w:val="none" w:sz="0" w:space="0" w:color="auto"/>
              </w:divBdr>
              <w:divsChild>
                <w:div w:id="1992172884">
                  <w:marLeft w:val="0"/>
                  <w:marRight w:val="0"/>
                  <w:marTop w:val="0"/>
                  <w:marBottom w:val="0"/>
                  <w:divBdr>
                    <w:top w:val="none" w:sz="0" w:space="0" w:color="auto"/>
                    <w:left w:val="none" w:sz="0" w:space="0" w:color="auto"/>
                    <w:bottom w:val="none" w:sz="0" w:space="0" w:color="auto"/>
                    <w:right w:val="none" w:sz="0" w:space="0" w:color="auto"/>
                  </w:divBdr>
                  <w:divsChild>
                    <w:div w:id="2687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83082">
          <w:marLeft w:val="0"/>
          <w:marRight w:val="0"/>
          <w:marTop w:val="0"/>
          <w:marBottom w:val="0"/>
          <w:divBdr>
            <w:top w:val="none" w:sz="0" w:space="0" w:color="auto"/>
            <w:left w:val="none" w:sz="0" w:space="0" w:color="auto"/>
            <w:bottom w:val="none" w:sz="0" w:space="0" w:color="auto"/>
            <w:right w:val="none" w:sz="0" w:space="0" w:color="auto"/>
          </w:divBdr>
        </w:div>
        <w:div w:id="15616910">
          <w:marLeft w:val="0"/>
          <w:marRight w:val="0"/>
          <w:marTop w:val="0"/>
          <w:marBottom w:val="0"/>
          <w:divBdr>
            <w:top w:val="none" w:sz="0" w:space="0" w:color="auto"/>
            <w:left w:val="none" w:sz="0" w:space="0" w:color="auto"/>
            <w:bottom w:val="none" w:sz="0" w:space="0" w:color="auto"/>
            <w:right w:val="none" w:sz="0" w:space="0" w:color="auto"/>
          </w:divBdr>
          <w:divsChild>
            <w:div w:id="471681980">
              <w:marLeft w:val="0"/>
              <w:marRight w:val="0"/>
              <w:marTop w:val="0"/>
              <w:marBottom w:val="0"/>
              <w:divBdr>
                <w:top w:val="none" w:sz="0" w:space="0" w:color="auto"/>
                <w:left w:val="none" w:sz="0" w:space="0" w:color="auto"/>
                <w:bottom w:val="none" w:sz="0" w:space="0" w:color="auto"/>
                <w:right w:val="none" w:sz="0" w:space="0" w:color="auto"/>
              </w:divBdr>
              <w:divsChild>
                <w:div w:id="1809281180">
                  <w:marLeft w:val="0"/>
                  <w:marRight w:val="0"/>
                  <w:marTop w:val="0"/>
                  <w:marBottom w:val="0"/>
                  <w:divBdr>
                    <w:top w:val="none" w:sz="0" w:space="0" w:color="auto"/>
                    <w:left w:val="none" w:sz="0" w:space="0" w:color="auto"/>
                    <w:bottom w:val="none" w:sz="0" w:space="0" w:color="auto"/>
                    <w:right w:val="none" w:sz="0" w:space="0" w:color="auto"/>
                  </w:divBdr>
                </w:div>
                <w:div w:id="1343973424">
                  <w:marLeft w:val="0"/>
                  <w:marRight w:val="0"/>
                  <w:marTop w:val="0"/>
                  <w:marBottom w:val="0"/>
                  <w:divBdr>
                    <w:top w:val="none" w:sz="0" w:space="0" w:color="auto"/>
                    <w:left w:val="none" w:sz="0" w:space="0" w:color="auto"/>
                    <w:bottom w:val="none" w:sz="0" w:space="0" w:color="auto"/>
                    <w:right w:val="none" w:sz="0" w:space="0" w:color="auto"/>
                  </w:divBdr>
                  <w:divsChild>
                    <w:div w:id="12979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40106">
      <w:bodyDiv w:val="1"/>
      <w:marLeft w:val="0"/>
      <w:marRight w:val="0"/>
      <w:marTop w:val="0"/>
      <w:marBottom w:val="0"/>
      <w:divBdr>
        <w:top w:val="none" w:sz="0" w:space="0" w:color="auto"/>
        <w:left w:val="none" w:sz="0" w:space="0" w:color="auto"/>
        <w:bottom w:val="none" w:sz="0" w:space="0" w:color="auto"/>
        <w:right w:val="none" w:sz="0" w:space="0" w:color="auto"/>
      </w:divBdr>
      <w:divsChild>
        <w:div w:id="1385762679">
          <w:marLeft w:val="0"/>
          <w:marRight w:val="0"/>
          <w:marTop w:val="0"/>
          <w:marBottom w:val="0"/>
          <w:divBdr>
            <w:top w:val="none" w:sz="0" w:space="0" w:color="auto"/>
            <w:left w:val="none" w:sz="0" w:space="0" w:color="auto"/>
            <w:bottom w:val="none" w:sz="0" w:space="0" w:color="auto"/>
            <w:right w:val="none" w:sz="0" w:space="0" w:color="auto"/>
          </w:divBdr>
          <w:divsChild>
            <w:div w:id="1987860175">
              <w:marLeft w:val="0"/>
              <w:marRight w:val="0"/>
              <w:marTop w:val="0"/>
              <w:marBottom w:val="0"/>
              <w:divBdr>
                <w:top w:val="none" w:sz="0" w:space="0" w:color="auto"/>
                <w:left w:val="none" w:sz="0" w:space="0" w:color="auto"/>
                <w:bottom w:val="none" w:sz="0" w:space="0" w:color="auto"/>
                <w:right w:val="none" w:sz="0" w:space="0" w:color="auto"/>
              </w:divBdr>
              <w:divsChild>
                <w:div w:id="106315290">
                  <w:marLeft w:val="0"/>
                  <w:marRight w:val="0"/>
                  <w:marTop w:val="0"/>
                  <w:marBottom w:val="0"/>
                  <w:divBdr>
                    <w:top w:val="none" w:sz="0" w:space="0" w:color="auto"/>
                    <w:left w:val="none" w:sz="0" w:space="0" w:color="auto"/>
                    <w:bottom w:val="none" w:sz="0" w:space="0" w:color="auto"/>
                    <w:right w:val="none" w:sz="0" w:space="0" w:color="auto"/>
                  </w:divBdr>
                  <w:divsChild>
                    <w:div w:id="15443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4579">
          <w:marLeft w:val="0"/>
          <w:marRight w:val="0"/>
          <w:marTop w:val="0"/>
          <w:marBottom w:val="0"/>
          <w:divBdr>
            <w:top w:val="none" w:sz="0" w:space="0" w:color="auto"/>
            <w:left w:val="none" w:sz="0" w:space="0" w:color="auto"/>
            <w:bottom w:val="none" w:sz="0" w:space="0" w:color="auto"/>
            <w:right w:val="none" w:sz="0" w:space="0" w:color="auto"/>
          </w:divBdr>
        </w:div>
        <w:div w:id="500583808">
          <w:marLeft w:val="0"/>
          <w:marRight w:val="0"/>
          <w:marTop w:val="0"/>
          <w:marBottom w:val="0"/>
          <w:divBdr>
            <w:top w:val="none" w:sz="0" w:space="0" w:color="auto"/>
            <w:left w:val="none" w:sz="0" w:space="0" w:color="auto"/>
            <w:bottom w:val="none" w:sz="0" w:space="0" w:color="auto"/>
            <w:right w:val="none" w:sz="0" w:space="0" w:color="auto"/>
          </w:divBdr>
          <w:divsChild>
            <w:div w:id="1027870728">
              <w:marLeft w:val="0"/>
              <w:marRight w:val="0"/>
              <w:marTop w:val="0"/>
              <w:marBottom w:val="0"/>
              <w:divBdr>
                <w:top w:val="none" w:sz="0" w:space="0" w:color="auto"/>
                <w:left w:val="none" w:sz="0" w:space="0" w:color="auto"/>
                <w:bottom w:val="none" w:sz="0" w:space="0" w:color="auto"/>
                <w:right w:val="none" w:sz="0" w:space="0" w:color="auto"/>
              </w:divBdr>
              <w:divsChild>
                <w:div w:id="1843935802">
                  <w:marLeft w:val="0"/>
                  <w:marRight w:val="0"/>
                  <w:marTop w:val="0"/>
                  <w:marBottom w:val="0"/>
                  <w:divBdr>
                    <w:top w:val="none" w:sz="0" w:space="0" w:color="auto"/>
                    <w:left w:val="none" w:sz="0" w:space="0" w:color="auto"/>
                    <w:bottom w:val="none" w:sz="0" w:space="0" w:color="auto"/>
                    <w:right w:val="none" w:sz="0" w:space="0" w:color="auto"/>
                  </w:divBdr>
                </w:div>
                <w:div w:id="2052656457">
                  <w:marLeft w:val="0"/>
                  <w:marRight w:val="0"/>
                  <w:marTop w:val="0"/>
                  <w:marBottom w:val="0"/>
                  <w:divBdr>
                    <w:top w:val="none" w:sz="0" w:space="0" w:color="auto"/>
                    <w:left w:val="none" w:sz="0" w:space="0" w:color="auto"/>
                    <w:bottom w:val="none" w:sz="0" w:space="0" w:color="auto"/>
                    <w:right w:val="none" w:sz="0" w:space="0" w:color="auto"/>
                  </w:divBdr>
                  <w:divsChild>
                    <w:div w:id="13240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337810">
      <w:bodyDiv w:val="1"/>
      <w:marLeft w:val="0"/>
      <w:marRight w:val="0"/>
      <w:marTop w:val="0"/>
      <w:marBottom w:val="0"/>
      <w:divBdr>
        <w:top w:val="none" w:sz="0" w:space="0" w:color="auto"/>
        <w:left w:val="none" w:sz="0" w:space="0" w:color="auto"/>
        <w:bottom w:val="none" w:sz="0" w:space="0" w:color="auto"/>
        <w:right w:val="none" w:sz="0" w:space="0" w:color="auto"/>
      </w:divBdr>
      <w:divsChild>
        <w:div w:id="1487624577">
          <w:marLeft w:val="0"/>
          <w:marRight w:val="0"/>
          <w:marTop w:val="0"/>
          <w:marBottom w:val="0"/>
          <w:divBdr>
            <w:top w:val="none" w:sz="0" w:space="0" w:color="auto"/>
            <w:left w:val="none" w:sz="0" w:space="0" w:color="auto"/>
            <w:bottom w:val="none" w:sz="0" w:space="0" w:color="auto"/>
            <w:right w:val="none" w:sz="0" w:space="0" w:color="auto"/>
          </w:divBdr>
          <w:divsChild>
            <w:div w:id="1959217253">
              <w:marLeft w:val="0"/>
              <w:marRight w:val="0"/>
              <w:marTop w:val="0"/>
              <w:marBottom w:val="0"/>
              <w:divBdr>
                <w:top w:val="none" w:sz="0" w:space="0" w:color="auto"/>
                <w:left w:val="none" w:sz="0" w:space="0" w:color="auto"/>
                <w:bottom w:val="none" w:sz="0" w:space="0" w:color="auto"/>
                <w:right w:val="none" w:sz="0" w:space="0" w:color="auto"/>
              </w:divBdr>
              <w:divsChild>
                <w:div w:id="483740403">
                  <w:marLeft w:val="0"/>
                  <w:marRight w:val="0"/>
                  <w:marTop w:val="0"/>
                  <w:marBottom w:val="0"/>
                  <w:divBdr>
                    <w:top w:val="none" w:sz="0" w:space="0" w:color="auto"/>
                    <w:left w:val="none" w:sz="0" w:space="0" w:color="auto"/>
                    <w:bottom w:val="none" w:sz="0" w:space="0" w:color="auto"/>
                    <w:right w:val="none" w:sz="0" w:space="0" w:color="auto"/>
                  </w:divBdr>
                  <w:divsChild>
                    <w:div w:id="10243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0245">
          <w:marLeft w:val="0"/>
          <w:marRight w:val="0"/>
          <w:marTop w:val="0"/>
          <w:marBottom w:val="0"/>
          <w:divBdr>
            <w:top w:val="none" w:sz="0" w:space="0" w:color="auto"/>
            <w:left w:val="none" w:sz="0" w:space="0" w:color="auto"/>
            <w:bottom w:val="none" w:sz="0" w:space="0" w:color="auto"/>
            <w:right w:val="none" w:sz="0" w:space="0" w:color="auto"/>
          </w:divBdr>
        </w:div>
        <w:div w:id="1781417740">
          <w:marLeft w:val="0"/>
          <w:marRight w:val="0"/>
          <w:marTop w:val="0"/>
          <w:marBottom w:val="0"/>
          <w:divBdr>
            <w:top w:val="none" w:sz="0" w:space="0" w:color="auto"/>
            <w:left w:val="none" w:sz="0" w:space="0" w:color="auto"/>
            <w:bottom w:val="none" w:sz="0" w:space="0" w:color="auto"/>
            <w:right w:val="none" w:sz="0" w:space="0" w:color="auto"/>
          </w:divBdr>
          <w:divsChild>
            <w:div w:id="567345460">
              <w:marLeft w:val="0"/>
              <w:marRight w:val="0"/>
              <w:marTop w:val="0"/>
              <w:marBottom w:val="0"/>
              <w:divBdr>
                <w:top w:val="none" w:sz="0" w:space="0" w:color="auto"/>
                <w:left w:val="none" w:sz="0" w:space="0" w:color="auto"/>
                <w:bottom w:val="none" w:sz="0" w:space="0" w:color="auto"/>
                <w:right w:val="none" w:sz="0" w:space="0" w:color="auto"/>
              </w:divBdr>
              <w:divsChild>
                <w:div w:id="1851215628">
                  <w:marLeft w:val="-300"/>
                  <w:marRight w:val="0"/>
                  <w:marTop w:val="60"/>
                  <w:marBottom w:val="0"/>
                  <w:divBdr>
                    <w:top w:val="none" w:sz="0" w:space="0" w:color="auto"/>
                    <w:left w:val="none" w:sz="0" w:space="0" w:color="auto"/>
                    <w:bottom w:val="none" w:sz="0" w:space="0" w:color="auto"/>
                    <w:right w:val="none" w:sz="0" w:space="0" w:color="auto"/>
                  </w:divBdr>
                </w:div>
              </w:divsChild>
            </w:div>
            <w:div w:id="885219581">
              <w:marLeft w:val="0"/>
              <w:marRight w:val="0"/>
              <w:marTop w:val="0"/>
              <w:marBottom w:val="0"/>
              <w:divBdr>
                <w:top w:val="none" w:sz="0" w:space="0" w:color="auto"/>
                <w:left w:val="none" w:sz="0" w:space="0" w:color="auto"/>
                <w:bottom w:val="none" w:sz="0" w:space="0" w:color="auto"/>
                <w:right w:val="none" w:sz="0" w:space="0" w:color="auto"/>
              </w:divBdr>
              <w:divsChild>
                <w:div w:id="853301136">
                  <w:marLeft w:val="0"/>
                  <w:marRight w:val="0"/>
                  <w:marTop w:val="0"/>
                  <w:marBottom w:val="0"/>
                  <w:divBdr>
                    <w:top w:val="none" w:sz="0" w:space="0" w:color="auto"/>
                    <w:left w:val="none" w:sz="0" w:space="0" w:color="auto"/>
                    <w:bottom w:val="none" w:sz="0" w:space="0" w:color="auto"/>
                    <w:right w:val="none" w:sz="0" w:space="0" w:color="auto"/>
                  </w:divBdr>
                </w:div>
                <w:div w:id="591668466">
                  <w:marLeft w:val="0"/>
                  <w:marRight w:val="0"/>
                  <w:marTop w:val="0"/>
                  <w:marBottom w:val="0"/>
                  <w:divBdr>
                    <w:top w:val="none" w:sz="0" w:space="0" w:color="auto"/>
                    <w:left w:val="none" w:sz="0" w:space="0" w:color="auto"/>
                    <w:bottom w:val="none" w:sz="0" w:space="0" w:color="auto"/>
                    <w:right w:val="none" w:sz="0" w:space="0" w:color="auto"/>
                  </w:divBdr>
                  <w:divsChild>
                    <w:div w:id="1626740818">
                      <w:marLeft w:val="0"/>
                      <w:marRight w:val="0"/>
                      <w:marTop w:val="0"/>
                      <w:marBottom w:val="0"/>
                      <w:divBdr>
                        <w:top w:val="none" w:sz="0" w:space="0" w:color="auto"/>
                        <w:left w:val="none" w:sz="0" w:space="0" w:color="auto"/>
                        <w:bottom w:val="none" w:sz="0" w:space="0" w:color="auto"/>
                        <w:right w:val="none" w:sz="0" w:space="0" w:color="auto"/>
                      </w:divBdr>
                    </w:div>
                  </w:divsChild>
                </w:div>
                <w:div w:id="1968780612">
                  <w:marLeft w:val="0"/>
                  <w:marRight w:val="0"/>
                  <w:marTop w:val="0"/>
                  <w:marBottom w:val="0"/>
                  <w:divBdr>
                    <w:top w:val="none" w:sz="0" w:space="0" w:color="auto"/>
                    <w:left w:val="none" w:sz="0" w:space="0" w:color="auto"/>
                    <w:bottom w:val="none" w:sz="0" w:space="0" w:color="auto"/>
                    <w:right w:val="none" w:sz="0" w:space="0" w:color="auto"/>
                  </w:divBdr>
                </w:div>
                <w:div w:id="50926176">
                  <w:marLeft w:val="0"/>
                  <w:marRight w:val="0"/>
                  <w:marTop w:val="0"/>
                  <w:marBottom w:val="0"/>
                  <w:divBdr>
                    <w:top w:val="none" w:sz="0" w:space="0" w:color="auto"/>
                    <w:left w:val="none" w:sz="0" w:space="0" w:color="auto"/>
                    <w:bottom w:val="none" w:sz="0" w:space="0" w:color="auto"/>
                    <w:right w:val="none" w:sz="0" w:space="0" w:color="auto"/>
                  </w:divBdr>
                </w:div>
                <w:div w:id="179200551">
                  <w:marLeft w:val="0"/>
                  <w:marRight w:val="0"/>
                  <w:marTop w:val="0"/>
                  <w:marBottom w:val="0"/>
                  <w:divBdr>
                    <w:top w:val="none" w:sz="0" w:space="0" w:color="auto"/>
                    <w:left w:val="none" w:sz="0" w:space="0" w:color="auto"/>
                    <w:bottom w:val="none" w:sz="0" w:space="0" w:color="auto"/>
                    <w:right w:val="none" w:sz="0" w:space="0" w:color="auto"/>
                  </w:divBdr>
                </w:div>
                <w:div w:id="529151580">
                  <w:marLeft w:val="0"/>
                  <w:marRight w:val="0"/>
                  <w:marTop w:val="0"/>
                  <w:marBottom w:val="0"/>
                  <w:divBdr>
                    <w:top w:val="none" w:sz="0" w:space="0" w:color="auto"/>
                    <w:left w:val="none" w:sz="0" w:space="0" w:color="auto"/>
                    <w:bottom w:val="none" w:sz="0" w:space="0" w:color="auto"/>
                    <w:right w:val="none" w:sz="0" w:space="0" w:color="auto"/>
                  </w:divBdr>
                  <w:divsChild>
                    <w:div w:id="428428034">
                      <w:marLeft w:val="0"/>
                      <w:marRight w:val="0"/>
                      <w:marTop w:val="0"/>
                      <w:marBottom w:val="0"/>
                      <w:divBdr>
                        <w:top w:val="none" w:sz="0" w:space="0" w:color="auto"/>
                        <w:left w:val="none" w:sz="0" w:space="0" w:color="auto"/>
                        <w:bottom w:val="none" w:sz="0" w:space="0" w:color="auto"/>
                        <w:right w:val="none" w:sz="0" w:space="0" w:color="auto"/>
                      </w:divBdr>
                    </w:div>
                  </w:divsChild>
                </w:div>
                <w:div w:id="2098594122">
                  <w:marLeft w:val="0"/>
                  <w:marRight w:val="0"/>
                  <w:marTop w:val="0"/>
                  <w:marBottom w:val="0"/>
                  <w:divBdr>
                    <w:top w:val="none" w:sz="0" w:space="0" w:color="auto"/>
                    <w:left w:val="none" w:sz="0" w:space="0" w:color="auto"/>
                    <w:bottom w:val="none" w:sz="0" w:space="0" w:color="auto"/>
                    <w:right w:val="none" w:sz="0" w:space="0" w:color="auto"/>
                  </w:divBdr>
                </w:div>
                <w:div w:id="16978334">
                  <w:marLeft w:val="0"/>
                  <w:marRight w:val="0"/>
                  <w:marTop w:val="0"/>
                  <w:marBottom w:val="0"/>
                  <w:divBdr>
                    <w:top w:val="none" w:sz="0" w:space="0" w:color="auto"/>
                    <w:left w:val="none" w:sz="0" w:space="0" w:color="auto"/>
                    <w:bottom w:val="none" w:sz="0" w:space="0" w:color="auto"/>
                    <w:right w:val="none" w:sz="0" w:space="0" w:color="auto"/>
                  </w:divBdr>
                  <w:divsChild>
                    <w:div w:id="1863739146">
                      <w:marLeft w:val="0"/>
                      <w:marRight w:val="0"/>
                      <w:marTop w:val="0"/>
                      <w:marBottom w:val="0"/>
                      <w:divBdr>
                        <w:top w:val="none" w:sz="0" w:space="0" w:color="auto"/>
                        <w:left w:val="none" w:sz="0" w:space="0" w:color="auto"/>
                        <w:bottom w:val="none" w:sz="0" w:space="0" w:color="auto"/>
                        <w:right w:val="none" w:sz="0" w:space="0" w:color="auto"/>
                      </w:divBdr>
                    </w:div>
                  </w:divsChild>
                </w:div>
                <w:div w:id="18514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7346">
          <w:marLeft w:val="0"/>
          <w:marRight w:val="0"/>
          <w:marTop w:val="0"/>
          <w:marBottom w:val="0"/>
          <w:divBdr>
            <w:top w:val="none" w:sz="0" w:space="0" w:color="auto"/>
            <w:left w:val="none" w:sz="0" w:space="0" w:color="auto"/>
            <w:bottom w:val="none" w:sz="0" w:space="0" w:color="auto"/>
            <w:right w:val="none" w:sz="0" w:space="0" w:color="auto"/>
          </w:divBdr>
        </w:div>
        <w:div w:id="481510280">
          <w:marLeft w:val="0"/>
          <w:marRight w:val="0"/>
          <w:marTop w:val="0"/>
          <w:marBottom w:val="0"/>
          <w:divBdr>
            <w:top w:val="none" w:sz="0" w:space="0" w:color="auto"/>
            <w:left w:val="none" w:sz="0" w:space="0" w:color="auto"/>
            <w:bottom w:val="none" w:sz="0" w:space="0" w:color="auto"/>
            <w:right w:val="none" w:sz="0" w:space="0" w:color="auto"/>
          </w:divBdr>
        </w:div>
        <w:div w:id="1278372854">
          <w:marLeft w:val="0"/>
          <w:marRight w:val="0"/>
          <w:marTop w:val="0"/>
          <w:marBottom w:val="0"/>
          <w:divBdr>
            <w:top w:val="none" w:sz="0" w:space="0" w:color="auto"/>
            <w:left w:val="none" w:sz="0" w:space="0" w:color="auto"/>
            <w:bottom w:val="none" w:sz="0" w:space="0" w:color="auto"/>
            <w:right w:val="none" w:sz="0" w:space="0" w:color="auto"/>
          </w:divBdr>
        </w:div>
        <w:div w:id="406349059">
          <w:marLeft w:val="0"/>
          <w:marRight w:val="0"/>
          <w:marTop w:val="0"/>
          <w:marBottom w:val="0"/>
          <w:divBdr>
            <w:top w:val="none" w:sz="0" w:space="0" w:color="auto"/>
            <w:left w:val="none" w:sz="0" w:space="0" w:color="auto"/>
            <w:bottom w:val="none" w:sz="0" w:space="0" w:color="auto"/>
            <w:right w:val="none" w:sz="0" w:space="0" w:color="auto"/>
          </w:divBdr>
          <w:divsChild>
            <w:div w:id="923800645">
              <w:marLeft w:val="0"/>
              <w:marRight w:val="0"/>
              <w:marTop w:val="0"/>
              <w:marBottom w:val="0"/>
              <w:divBdr>
                <w:top w:val="none" w:sz="0" w:space="0" w:color="auto"/>
                <w:left w:val="none" w:sz="0" w:space="0" w:color="auto"/>
                <w:bottom w:val="none" w:sz="0" w:space="0" w:color="auto"/>
                <w:right w:val="none" w:sz="0" w:space="0" w:color="auto"/>
              </w:divBdr>
              <w:divsChild>
                <w:div w:id="930158448">
                  <w:marLeft w:val="0"/>
                  <w:marRight w:val="0"/>
                  <w:marTop w:val="0"/>
                  <w:marBottom w:val="0"/>
                  <w:divBdr>
                    <w:top w:val="none" w:sz="0" w:space="0" w:color="auto"/>
                    <w:left w:val="none" w:sz="0" w:space="0" w:color="auto"/>
                    <w:bottom w:val="none" w:sz="0" w:space="0" w:color="auto"/>
                    <w:right w:val="none" w:sz="0" w:space="0" w:color="auto"/>
                  </w:divBdr>
                  <w:divsChild>
                    <w:div w:id="586812201">
                      <w:marLeft w:val="0"/>
                      <w:marRight w:val="0"/>
                      <w:marTop w:val="0"/>
                      <w:marBottom w:val="0"/>
                      <w:divBdr>
                        <w:top w:val="none" w:sz="0" w:space="0" w:color="auto"/>
                        <w:left w:val="none" w:sz="0" w:space="0" w:color="auto"/>
                        <w:bottom w:val="none" w:sz="0" w:space="0" w:color="auto"/>
                        <w:right w:val="none" w:sz="0" w:space="0" w:color="auto"/>
                      </w:divBdr>
                      <w:divsChild>
                        <w:div w:id="156317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507718">
      <w:bodyDiv w:val="1"/>
      <w:marLeft w:val="0"/>
      <w:marRight w:val="0"/>
      <w:marTop w:val="0"/>
      <w:marBottom w:val="0"/>
      <w:divBdr>
        <w:top w:val="none" w:sz="0" w:space="0" w:color="auto"/>
        <w:left w:val="none" w:sz="0" w:space="0" w:color="auto"/>
        <w:bottom w:val="none" w:sz="0" w:space="0" w:color="auto"/>
        <w:right w:val="none" w:sz="0" w:space="0" w:color="auto"/>
      </w:divBdr>
    </w:div>
    <w:div w:id="1871019764">
      <w:bodyDiv w:val="1"/>
      <w:marLeft w:val="0"/>
      <w:marRight w:val="0"/>
      <w:marTop w:val="0"/>
      <w:marBottom w:val="0"/>
      <w:divBdr>
        <w:top w:val="none" w:sz="0" w:space="0" w:color="auto"/>
        <w:left w:val="none" w:sz="0" w:space="0" w:color="auto"/>
        <w:bottom w:val="none" w:sz="0" w:space="0" w:color="auto"/>
        <w:right w:val="none" w:sz="0" w:space="0" w:color="auto"/>
      </w:divBdr>
    </w:div>
    <w:div w:id="193497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n@drgaupp.de" TargetMode="External"/><Relationship Id="rId3" Type="http://schemas.openxmlformats.org/officeDocument/2006/relationships/settings" Target="settings.xml"/><Relationship Id="rId7" Type="http://schemas.openxmlformats.org/officeDocument/2006/relationships/hyperlink" Target="https://www.juris.de/r3/document/BJNR005330950BJNE063502301/format/xsl/part/S?oi=gq9GdKPn9X&amp;sourceP=%7B%22source%22%3A%22Link%22%7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rgaupp.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9071</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9</cp:revision>
  <dcterms:created xsi:type="dcterms:W3CDTF">2020-09-24T10:24:00Z</dcterms:created>
  <dcterms:modified xsi:type="dcterms:W3CDTF">2020-10-05T08:14:00Z</dcterms:modified>
</cp:coreProperties>
</file>