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7B09" w:rsidRPr="0076785E" w:rsidRDefault="00927B09" w:rsidP="00927B09">
      <w:pPr>
        <w:tabs>
          <w:tab w:val="center" w:pos="4536"/>
          <w:tab w:val="right" w:pos="9072"/>
        </w:tabs>
        <w:jc w:val="right"/>
        <w:rPr>
          <w:rFonts w:ascii="Arial" w:eastAsia="Times New Roman" w:hAnsi="Arial" w:cs="Arial"/>
        </w:rPr>
      </w:pPr>
      <w:r w:rsidRPr="0076785E">
        <w:rPr>
          <w:rFonts w:ascii="Arial" w:eastAsia="Times New Roman" w:hAnsi="Arial" w:cs="Arial"/>
          <w:b/>
          <w:bCs/>
          <w:sz w:val="40"/>
          <w:szCs w:val="40"/>
        </w:rPr>
        <w:t>DASV</w:t>
      </w:r>
    </w:p>
    <w:p w:rsidR="00927B09" w:rsidRPr="0076785E" w:rsidRDefault="00927B09" w:rsidP="00927B09">
      <w:pPr>
        <w:jc w:val="right"/>
        <w:rPr>
          <w:rFonts w:ascii="Arial" w:eastAsia="Times New Roman" w:hAnsi="Arial" w:cs="Arial"/>
          <w:sz w:val="20"/>
          <w:szCs w:val="20"/>
        </w:rPr>
      </w:pPr>
      <w:bookmarkStart w:id="0" w:name="2"/>
      <w:bookmarkStart w:id="1" w:name="9"/>
      <w:bookmarkEnd w:id="0"/>
      <w:bookmarkEnd w:id="1"/>
      <w:r w:rsidRPr="0076785E">
        <w:rPr>
          <w:rFonts w:ascii="Arial" w:eastAsia="Times New Roman" w:hAnsi="Arial" w:cs="Arial"/>
          <w:sz w:val="20"/>
          <w:szCs w:val="20"/>
        </w:rPr>
        <w:t>Deutsche Anwalts- und</w:t>
      </w:r>
    </w:p>
    <w:p w:rsidR="00927B09" w:rsidRPr="0076785E" w:rsidRDefault="00927B09" w:rsidP="00927B09">
      <w:pPr>
        <w:jc w:val="right"/>
        <w:rPr>
          <w:rFonts w:ascii="Arial" w:eastAsia="Times New Roman" w:hAnsi="Arial" w:cs="Arial"/>
          <w:sz w:val="20"/>
          <w:szCs w:val="20"/>
        </w:rPr>
      </w:pPr>
      <w:r w:rsidRPr="0076785E">
        <w:rPr>
          <w:rFonts w:ascii="Arial" w:eastAsia="Times New Roman" w:hAnsi="Arial" w:cs="Arial"/>
          <w:sz w:val="20"/>
          <w:szCs w:val="20"/>
        </w:rPr>
        <w:t>Steuerberatervereinigung</w:t>
      </w:r>
    </w:p>
    <w:p w:rsidR="00927B09" w:rsidRPr="0076785E" w:rsidRDefault="00927B09" w:rsidP="00927B09">
      <w:pPr>
        <w:jc w:val="right"/>
        <w:rPr>
          <w:rFonts w:ascii="Arial" w:eastAsia="Times New Roman" w:hAnsi="Arial" w:cs="Arial"/>
          <w:sz w:val="20"/>
          <w:szCs w:val="20"/>
        </w:rPr>
      </w:pPr>
      <w:r w:rsidRPr="0076785E">
        <w:rPr>
          <w:rFonts w:ascii="Arial" w:eastAsia="Times New Roman" w:hAnsi="Arial" w:cs="Arial"/>
          <w:sz w:val="20"/>
          <w:szCs w:val="20"/>
        </w:rPr>
        <w:t>für die mittelständische</w:t>
      </w:r>
    </w:p>
    <w:p w:rsidR="00927B09" w:rsidRPr="0076785E" w:rsidRDefault="00927B09" w:rsidP="00927B09">
      <w:pPr>
        <w:spacing w:line="360" w:lineRule="auto"/>
        <w:jc w:val="right"/>
        <w:rPr>
          <w:rFonts w:ascii="Arial" w:eastAsia="Times New Roman" w:hAnsi="Arial" w:cs="Arial"/>
          <w:sz w:val="20"/>
          <w:szCs w:val="20"/>
        </w:rPr>
      </w:pPr>
      <w:r w:rsidRPr="0076785E">
        <w:rPr>
          <w:rFonts w:ascii="Arial" w:eastAsia="Times New Roman" w:hAnsi="Arial" w:cs="Arial"/>
          <w:sz w:val="20"/>
          <w:szCs w:val="20"/>
        </w:rPr>
        <w:t>Wirtschaft e. V.</w:t>
      </w:r>
    </w:p>
    <w:p w:rsidR="00927B09" w:rsidRPr="0076785E" w:rsidRDefault="00927B09" w:rsidP="00927B09">
      <w:pPr>
        <w:jc w:val="center"/>
        <w:rPr>
          <w:rFonts w:ascii="Arial" w:eastAsia="Times New Roman" w:hAnsi="Arial" w:cs="Arial"/>
          <w:b/>
          <w:bCs/>
          <w:sz w:val="20"/>
          <w:szCs w:val="20"/>
        </w:rPr>
      </w:pPr>
    </w:p>
    <w:p w:rsidR="00927B09" w:rsidRPr="0076785E" w:rsidRDefault="00927B09" w:rsidP="00927B09">
      <w:pPr>
        <w:jc w:val="center"/>
        <w:rPr>
          <w:rFonts w:ascii="Arial" w:eastAsia="Times New Roman" w:hAnsi="Arial" w:cs="Arial"/>
          <w:b/>
          <w:bCs/>
          <w:sz w:val="20"/>
          <w:szCs w:val="20"/>
        </w:rPr>
      </w:pPr>
      <w:r w:rsidRPr="0076785E">
        <w:rPr>
          <w:rFonts w:ascii="Arial" w:eastAsia="Times New Roman" w:hAnsi="Arial" w:cs="Arial"/>
          <w:b/>
          <w:bCs/>
          <w:sz w:val="20"/>
          <w:szCs w:val="20"/>
        </w:rPr>
        <w:t>10 Urteile, die Ihre Leser interessieren könnten</w:t>
      </w:r>
    </w:p>
    <w:p w:rsidR="00927B09" w:rsidRPr="0076785E" w:rsidRDefault="00927B09" w:rsidP="00927B09">
      <w:pPr>
        <w:jc w:val="both"/>
        <w:rPr>
          <w:rFonts w:ascii="Arial" w:eastAsia="Times New Roman" w:hAnsi="Arial" w:cs="Arial"/>
          <w:bCs/>
          <w:sz w:val="20"/>
          <w:szCs w:val="20"/>
        </w:rPr>
      </w:pPr>
    </w:p>
    <w:p w:rsidR="00927B09" w:rsidRPr="0076785E" w:rsidRDefault="00927B09" w:rsidP="00927B09">
      <w:pPr>
        <w:jc w:val="center"/>
        <w:rPr>
          <w:rFonts w:ascii="Arial" w:eastAsia="Times New Roman" w:hAnsi="Arial" w:cs="Arial"/>
          <w:sz w:val="20"/>
          <w:szCs w:val="20"/>
        </w:rPr>
      </w:pPr>
      <w:r w:rsidRPr="0076785E">
        <w:rPr>
          <w:rFonts w:ascii="Arial" w:eastAsia="Times New Roman" w:hAnsi="Arial" w:cs="Arial"/>
          <w:sz w:val="20"/>
          <w:szCs w:val="20"/>
        </w:rPr>
        <w:t>zusammengestellt von Rechtsanwalt/Fachanwalt für Arbeitsrecht u. Fachanwalt für Erbrecht</w:t>
      </w:r>
    </w:p>
    <w:p w:rsidR="00927B09" w:rsidRPr="0076785E" w:rsidRDefault="00927B09" w:rsidP="00927B09">
      <w:pPr>
        <w:ind w:right="540"/>
        <w:jc w:val="center"/>
        <w:rPr>
          <w:rFonts w:ascii="Arial" w:eastAsia="Times New Roman" w:hAnsi="Arial" w:cs="Arial"/>
          <w:bCs/>
          <w:sz w:val="20"/>
          <w:szCs w:val="20"/>
        </w:rPr>
      </w:pPr>
      <w:r w:rsidRPr="0076785E">
        <w:rPr>
          <w:rFonts w:ascii="Arial" w:eastAsia="Times New Roman" w:hAnsi="Arial" w:cs="Arial"/>
          <w:bCs/>
          <w:sz w:val="20"/>
          <w:szCs w:val="20"/>
        </w:rPr>
        <w:t>Michael Henn, Stuttgart</w:t>
      </w:r>
    </w:p>
    <w:p w:rsidR="00DE2F90" w:rsidRDefault="00DE2F90">
      <w:pPr>
        <w:rPr>
          <w:rFonts w:ascii="Arial" w:hAnsi="Arial" w:cs="Arial"/>
          <w:sz w:val="20"/>
          <w:szCs w:val="20"/>
        </w:rPr>
      </w:pPr>
    </w:p>
    <w:p w:rsidR="00927B09" w:rsidRDefault="00927B09" w:rsidP="00927B09">
      <w:pPr>
        <w:jc w:val="center"/>
        <w:rPr>
          <w:rFonts w:ascii="Arial" w:hAnsi="Arial" w:cs="Arial"/>
          <w:b/>
          <w:sz w:val="20"/>
          <w:szCs w:val="20"/>
        </w:rPr>
      </w:pPr>
      <w:r w:rsidRPr="00927B09">
        <w:rPr>
          <w:rFonts w:ascii="Arial" w:hAnsi="Arial" w:cs="Arial"/>
          <w:b/>
          <w:sz w:val="20"/>
          <w:szCs w:val="20"/>
        </w:rPr>
        <w:t>I.</w:t>
      </w:r>
    </w:p>
    <w:p w:rsidR="00927B09" w:rsidRPr="00927B09" w:rsidRDefault="00927B09" w:rsidP="00927B09">
      <w:pPr>
        <w:jc w:val="center"/>
        <w:rPr>
          <w:rFonts w:ascii="Arial" w:hAnsi="Arial" w:cs="Arial"/>
          <w:b/>
          <w:bCs/>
          <w:sz w:val="20"/>
          <w:szCs w:val="20"/>
        </w:rPr>
      </w:pPr>
      <w:r w:rsidRPr="00927B09">
        <w:rPr>
          <w:rFonts w:ascii="Arial" w:hAnsi="Arial" w:cs="Arial"/>
          <w:b/>
          <w:bCs/>
          <w:sz w:val="20"/>
          <w:szCs w:val="20"/>
        </w:rPr>
        <w:t xml:space="preserve">Gesellschafter-Geschäftsführer als arbeitnehmerähnliche Person </w:t>
      </w:r>
    </w:p>
    <w:p w:rsidR="00927B09" w:rsidRPr="00927B09" w:rsidRDefault="00927B09" w:rsidP="00927B09">
      <w:pPr>
        <w:jc w:val="center"/>
        <w:rPr>
          <w:rFonts w:ascii="Arial" w:hAnsi="Arial" w:cs="Arial"/>
          <w:sz w:val="20"/>
          <w:szCs w:val="20"/>
        </w:rPr>
      </w:pPr>
      <w:r w:rsidRPr="00927B09">
        <w:rPr>
          <w:rFonts w:ascii="Arial" w:hAnsi="Arial" w:cs="Arial"/>
          <w:sz w:val="20"/>
          <w:szCs w:val="20"/>
        </w:rPr>
        <w:t>BGH, Urteil vom 01.10.2019, Az. II ZR 386/17</w:t>
      </w:r>
    </w:p>
    <w:p w:rsidR="00927B09" w:rsidRPr="00927B09" w:rsidRDefault="00927B09" w:rsidP="00927B09">
      <w:pPr>
        <w:jc w:val="center"/>
        <w:rPr>
          <w:rFonts w:ascii="Arial" w:hAnsi="Arial" w:cs="Arial"/>
          <w:b/>
          <w:sz w:val="20"/>
          <w:szCs w:val="20"/>
        </w:rPr>
      </w:pPr>
    </w:p>
    <w:p w:rsidR="000C2827" w:rsidRDefault="000C2827" w:rsidP="00927B09">
      <w:pPr>
        <w:jc w:val="both"/>
        <w:rPr>
          <w:rFonts w:ascii="Arial" w:hAnsi="Arial" w:cs="Arial"/>
          <w:sz w:val="21"/>
          <w:szCs w:val="21"/>
        </w:rPr>
      </w:pPr>
      <w:r>
        <w:rPr>
          <w:rFonts w:ascii="Arial" w:hAnsi="Arial" w:cs="Arial"/>
          <w:sz w:val="21"/>
          <w:szCs w:val="21"/>
        </w:rPr>
        <w:t>Ein Gesellschafter-Geschäftsführer einer Gesellschaft mit beschränkter Haftung, der mit einem oder mehreren anderen Gesellschafter-Geschäftsführern 50 % der Geschäftsanteile hält und selbst nicht mit einem nur unbedeutenden Geschäftsanteil an der Gesellschaft beteiligt ist, ist keine arbeitnehmerähnliche Person im Sinne des § 17 Abs. 1 Satz 2 BetrAVG .</w:t>
      </w:r>
    </w:p>
    <w:p w:rsidR="000C2827" w:rsidRDefault="000C2827" w:rsidP="000C2827">
      <w:pPr>
        <w:rPr>
          <w:rFonts w:ascii="Arial" w:hAnsi="Arial" w:cs="Arial"/>
          <w:sz w:val="21"/>
          <w:szCs w:val="21"/>
        </w:rPr>
      </w:pPr>
    </w:p>
    <w:p w:rsidR="00927B09" w:rsidRDefault="00927B09" w:rsidP="00927B09">
      <w:pPr>
        <w:jc w:val="center"/>
        <w:rPr>
          <w:rFonts w:ascii="Arial" w:hAnsi="Arial" w:cs="Arial"/>
          <w:b/>
          <w:sz w:val="21"/>
          <w:szCs w:val="21"/>
        </w:rPr>
      </w:pPr>
      <w:r w:rsidRPr="00927B09">
        <w:rPr>
          <w:rFonts w:ascii="Arial" w:hAnsi="Arial" w:cs="Arial"/>
          <w:b/>
          <w:sz w:val="21"/>
          <w:szCs w:val="21"/>
        </w:rPr>
        <w:t>II.</w:t>
      </w:r>
    </w:p>
    <w:p w:rsidR="00927B09" w:rsidRPr="00927B09" w:rsidRDefault="00927B09" w:rsidP="00927B09">
      <w:pPr>
        <w:jc w:val="center"/>
        <w:rPr>
          <w:rFonts w:ascii="Arial" w:hAnsi="Arial" w:cs="Arial"/>
          <w:b/>
          <w:bCs/>
          <w:sz w:val="20"/>
          <w:szCs w:val="21"/>
        </w:rPr>
      </w:pPr>
      <w:r w:rsidRPr="00927B09">
        <w:rPr>
          <w:rFonts w:ascii="Arial" w:hAnsi="Arial" w:cs="Arial"/>
          <w:b/>
          <w:bCs/>
          <w:sz w:val="20"/>
          <w:szCs w:val="21"/>
        </w:rPr>
        <w:t xml:space="preserve">Klausel zur Kündigungsfrist für Pferdepensionsvertrag </w:t>
      </w:r>
    </w:p>
    <w:p w:rsidR="00927B09" w:rsidRPr="00927B09" w:rsidRDefault="00927B09" w:rsidP="00927B09">
      <w:pPr>
        <w:jc w:val="center"/>
        <w:rPr>
          <w:rFonts w:ascii="Arial" w:hAnsi="Arial" w:cs="Arial"/>
          <w:sz w:val="20"/>
          <w:szCs w:val="21"/>
        </w:rPr>
      </w:pPr>
      <w:r w:rsidRPr="00927B09">
        <w:rPr>
          <w:rFonts w:ascii="Arial" w:hAnsi="Arial" w:cs="Arial"/>
          <w:sz w:val="20"/>
          <w:szCs w:val="21"/>
        </w:rPr>
        <w:t>BGH, Urteil vom 02.10.2019, Az. XII ZR 8/19</w:t>
      </w:r>
    </w:p>
    <w:p w:rsidR="00927B09" w:rsidRPr="00927B09" w:rsidRDefault="00927B09" w:rsidP="00927B09">
      <w:pPr>
        <w:jc w:val="center"/>
        <w:rPr>
          <w:rFonts w:ascii="Arial" w:hAnsi="Arial" w:cs="Arial"/>
          <w:b/>
          <w:sz w:val="21"/>
          <w:szCs w:val="21"/>
        </w:rPr>
      </w:pPr>
    </w:p>
    <w:p w:rsidR="000C2827" w:rsidRDefault="000C2827" w:rsidP="00927B09">
      <w:pPr>
        <w:jc w:val="both"/>
        <w:rPr>
          <w:rFonts w:ascii="Arial" w:hAnsi="Arial" w:cs="Arial"/>
          <w:sz w:val="21"/>
          <w:szCs w:val="21"/>
        </w:rPr>
      </w:pPr>
      <w:r>
        <w:rPr>
          <w:rFonts w:ascii="Arial" w:hAnsi="Arial" w:cs="Arial"/>
          <w:sz w:val="21"/>
          <w:szCs w:val="21"/>
        </w:rPr>
        <w:t>In einem sogenannten Pferdepensionsvertrag hält eine vorformulierte Vertragsbestimmung, die eine beiderseitige Kündigungsfrist von acht Wochen zum Monatsende vorsieht, grundsätzlich der AGB-rechtlichen Inhaltskontrolle nach § 307 Abs. 1 und Abs. 2 Nr. 1 BGB stand.</w:t>
      </w:r>
    </w:p>
    <w:p w:rsidR="00D97963" w:rsidRDefault="00D97963" w:rsidP="00927B09">
      <w:pPr>
        <w:jc w:val="both"/>
        <w:rPr>
          <w:rFonts w:ascii="Arial" w:hAnsi="Arial" w:cs="Arial"/>
          <w:sz w:val="21"/>
          <w:szCs w:val="21"/>
        </w:rPr>
      </w:pPr>
    </w:p>
    <w:p w:rsidR="00927B09" w:rsidRDefault="00927B09" w:rsidP="00927B09">
      <w:pPr>
        <w:jc w:val="center"/>
        <w:rPr>
          <w:rFonts w:ascii="Arial" w:hAnsi="Arial" w:cs="Arial"/>
          <w:b/>
          <w:sz w:val="21"/>
          <w:szCs w:val="21"/>
        </w:rPr>
      </w:pPr>
      <w:r w:rsidRPr="00927B09">
        <w:rPr>
          <w:rFonts w:ascii="Arial" w:hAnsi="Arial" w:cs="Arial"/>
          <w:b/>
          <w:sz w:val="21"/>
          <w:szCs w:val="21"/>
        </w:rPr>
        <w:t>III.</w:t>
      </w:r>
    </w:p>
    <w:p w:rsidR="00927B09" w:rsidRPr="00927B09" w:rsidRDefault="00927B09" w:rsidP="00927B09">
      <w:pPr>
        <w:jc w:val="center"/>
        <w:rPr>
          <w:rFonts w:ascii="Arial" w:hAnsi="Arial" w:cs="Arial"/>
          <w:b/>
          <w:bCs/>
          <w:sz w:val="20"/>
          <w:szCs w:val="21"/>
        </w:rPr>
      </w:pPr>
      <w:r w:rsidRPr="00927B09">
        <w:rPr>
          <w:rFonts w:ascii="Arial" w:hAnsi="Arial" w:cs="Arial"/>
          <w:b/>
          <w:bCs/>
          <w:sz w:val="20"/>
          <w:szCs w:val="21"/>
        </w:rPr>
        <w:t>Hinweispflicht des Verwalters auf Gewährleistung und Verjährung</w:t>
      </w:r>
    </w:p>
    <w:p w:rsidR="00927B09" w:rsidRPr="00927B09" w:rsidRDefault="00927B09" w:rsidP="00927B09">
      <w:pPr>
        <w:jc w:val="center"/>
        <w:rPr>
          <w:rFonts w:ascii="Arial" w:hAnsi="Arial" w:cs="Arial"/>
          <w:sz w:val="20"/>
          <w:szCs w:val="21"/>
        </w:rPr>
      </w:pPr>
      <w:r w:rsidRPr="00927B09">
        <w:rPr>
          <w:rFonts w:ascii="Arial" w:hAnsi="Arial" w:cs="Arial"/>
          <w:sz w:val="20"/>
          <w:szCs w:val="21"/>
        </w:rPr>
        <w:t>BGH, Urteil vom 19.07.2019, Az. V ZR 75/18</w:t>
      </w:r>
    </w:p>
    <w:p w:rsidR="00927B09" w:rsidRPr="00927B09" w:rsidRDefault="00927B09" w:rsidP="00927B09">
      <w:pPr>
        <w:jc w:val="center"/>
        <w:rPr>
          <w:rFonts w:ascii="Arial" w:hAnsi="Arial" w:cs="Arial"/>
          <w:sz w:val="20"/>
          <w:szCs w:val="21"/>
        </w:rPr>
      </w:pPr>
    </w:p>
    <w:p w:rsidR="00927B09" w:rsidRPr="00927B09" w:rsidRDefault="00D97963" w:rsidP="00927B09">
      <w:pPr>
        <w:pStyle w:val="Listenabsatz"/>
        <w:numPr>
          <w:ilvl w:val="0"/>
          <w:numId w:val="1"/>
        </w:numPr>
        <w:jc w:val="both"/>
      </w:pPr>
      <w:r w:rsidRPr="00E85ED0">
        <w:rPr>
          <w:rFonts w:ascii="Arial" w:hAnsi="Arial" w:cs="Arial"/>
          <w:sz w:val="21"/>
          <w:szCs w:val="21"/>
        </w:rPr>
        <w:t>Der Verwalter muss zur Vorbereitung der Beschlussfassung über Maßnahmen der Instandhaltung und Instandsetzung des Gemeinschaftseigentums die verschiedenen Handlungsoptionen aufzeigen; dabei hat er die Wohnungseigentümer auf mögliche Gewährleistungsansprüche und auf eine drohende Verjährung dieser Ansprüche hinzuweisen.</w:t>
      </w:r>
    </w:p>
    <w:p w:rsidR="00927B09" w:rsidRPr="00927B09" w:rsidRDefault="00D97963" w:rsidP="00927B09">
      <w:pPr>
        <w:pStyle w:val="Listenabsatz"/>
        <w:numPr>
          <w:ilvl w:val="0"/>
          <w:numId w:val="1"/>
        </w:numPr>
        <w:jc w:val="both"/>
      </w:pPr>
      <w:r w:rsidRPr="00E85ED0">
        <w:rPr>
          <w:rFonts w:ascii="Arial" w:hAnsi="Arial" w:cs="Arial"/>
          <w:sz w:val="21"/>
          <w:szCs w:val="21"/>
        </w:rPr>
        <w:t>Den mit dem Bauträger identischen, von ihm eingesetzten, mit ihm verbundenen oder von ihm abhängigen Verwalter (sog. Bauträgerverwalter) treffen die gleichen Pflichten hinsichtlich der Vorbereitung einer sachgerechten Beschlussfassung der Wohnungseigentümer über Maßnahmen der Instandhaltung und Instandsetzung des Gemeinschaftseigentums wie jeden anderen Verwalter; er muss somit auch auf Gewährleistungsansprüche "gegen sich selbst" und eine drohende Verjährung dieser Ansprüche hinweisen.</w:t>
      </w:r>
    </w:p>
    <w:p w:rsidR="00D97963" w:rsidRPr="00927B09" w:rsidRDefault="00D97963" w:rsidP="00927B09">
      <w:pPr>
        <w:pStyle w:val="Listenabsatz"/>
        <w:numPr>
          <w:ilvl w:val="0"/>
          <w:numId w:val="1"/>
        </w:numPr>
        <w:jc w:val="both"/>
      </w:pPr>
      <w:r w:rsidRPr="00E85ED0">
        <w:rPr>
          <w:rFonts w:ascii="Arial" w:hAnsi="Arial" w:cs="Arial"/>
          <w:sz w:val="21"/>
          <w:szCs w:val="21"/>
        </w:rPr>
        <w:t>Hat der Verwalter Anhaltspunkte dafür, dass ein Mangel am Gemeinschaftseigentum entgegen einer Erklärung des Bauträgers nicht beseitigt ist, muss er die Wohnungseigentümer hierüber unterrichten und auf einen sachgerechten Beschluss über das weitere Vorgehen hinwirken.</w:t>
      </w:r>
    </w:p>
    <w:p w:rsidR="00927B09" w:rsidRDefault="00927B09" w:rsidP="00927B09">
      <w:pPr>
        <w:pStyle w:val="Listenabsatz"/>
        <w:ind w:left="0"/>
        <w:jc w:val="both"/>
        <w:rPr>
          <w:rFonts w:ascii="Arial" w:hAnsi="Arial" w:cs="Arial"/>
          <w:sz w:val="20"/>
          <w:szCs w:val="21"/>
        </w:rPr>
      </w:pPr>
    </w:p>
    <w:p w:rsidR="00927B09" w:rsidRDefault="00927B09" w:rsidP="00927B09">
      <w:pPr>
        <w:pStyle w:val="Listenabsatz"/>
        <w:ind w:left="0"/>
        <w:jc w:val="center"/>
        <w:rPr>
          <w:rFonts w:ascii="Arial" w:hAnsi="Arial" w:cs="Arial"/>
          <w:b/>
          <w:sz w:val="20"/>
          <w:szCs w:val="21"/>
        </w:rPr>
      </w:pPr>
      <w:r w:rsidRPr="00927B09">
        <w:rPr>
          <w:rFonts w:ascii="Arial" w:hAnsi="Arial" w:cs="Arial"/>
          <w:b/>
          <w:sz w:val="20"/>
          <w:szCs w:val="21"/>
        </w:rPr>
        <w:t>IV.</w:t>
      </w:r>
    </w:p>
    <w:p w:rsidR="00927B09" w:rsidRPr="00927B09" w:rsidRDefault="00927B09" w:rsidP="00927B09">
      <w:pPr>
        <w:pStyle w:val="Listenabsatz"/>
        <w:ind w:left="0"/>
        <w:jc w:val="center"/>
        <w:rPr>
          <w:rFonts w:ascii="Arial" w:hAnsi="Arial" w:cs="Arial"/>
          <w:b/>
          <w:sz w:val="20"/>
          <w:szCs w:val="21"/>
        </w:rPr>
      </w:pPr>
      <w:r w:rsidRPr="00927B09">
        <w:rPr>
          <w:rFonts w:ascii="Arial" w:hAnsi="Arial" w:cs="Arial"/>
          <w:b/>
          <w:sz w:val="20"/>
          <w:szCs w:val="21"/>
        </w:rPr>
        <w:t>Benachteiligung nach AGG - Entschädigungsverlangen - Rechtsmissbrauch - Ziel der Entschädigung</w:t>
      </w:r>
    </w:p>
    <w:p w:rsidR="00927B09" w:rsidRDefault="00927B09" w:rsidP="00927B09">
      <w:pPr>
        <w:pStyle w:val="Listenabsatz"/>
        <w:ind w:left="0"/>
        <w:jc w:val="center"/>
        <w:rPr>
          <w:rFonts w:ascii="Arial" w:hAnsi="Arial" w:cs="Arial"/>
          <w:sz w:val="20"/>
          <w:szCs w:val="21"/>
        </w:rPr>
      </w:pPr>
      <w:proofErr w:type="spellStart"/>
      <w:r w:rsidRPr="00927B09">
        <w:rPr>
          <w:rFonts w:ascii="Arial" w:hAnsi="Arial" w:cs="Arial"/>
          <w:sz w:val="20"/>
          <w:szCs w:val="21"/>
        </w:rPr>
        <w:t>ArbG</w:t>
      </w:r>
      <w:proofErr w:type="spellEnd"/>
      <w:r w:rsidRPr="00927B09">
        <w:rPr>
          <w:rFonts w:ascii="Arial" w:hAnsi="Arial" w:cs="Arial"/>
          <w:sz w:val="20"/>
          <w:szCs w:val="21"/>
        </w:rPr>
        <w:t xml:space="preserve"> Bonn, Urteil vom 23. Oktober 2019, Az. 5 </w:t>
      </w:r>
      <w:proofErr w:type="spellStart"/>
      <w:r w:rsidRPr="00927B09">
        <w:rPr>
          <w:rFonts w:ascii="Arial" w:hAnsi="Arial" w:cs="Arial"/>
          <w:sz w:val="20"/>
          <w:szCs w:val="21"/>
        </w:rPr>
        <w:t>Ca</w:t>
      </w:r>
      <w:proofErr w:type="spellEnd"/>
      <w:r w:rsidRPr="00927B09">
        <w:rPr>
          <w:rFonts w:ascii="Arial" w:hAnsi="Arial" w:cs="Arial"/>
          <w:sz w:val="20"/>
          <w:szCs w:val="21"/>
        </w:rPr>
        <w:t xml:space="preserve"> 1201/19</w:t>
      </w:r>
    </w:p>
    <w:p w:rsidR="00927B09" w:rsidRDefault="00927B09" w:rsidP="00927B09">
      <w:pPr>
        <w:pStyle w:val="Listenabsatz"/>
        <w:ind w:left="0"/>
        <w:jc w:val="both"/>
        <w:rPr>
          <w:rFonts w:ascii="Arial" w:hAnsi="Arial" w:cs="Arial"/>
          <w:sz w:val="20"/>
          <w:szCs w:val="21"/>
        </w:rPr>
      </w:pPr>
    </w:p>
    <w:p w:rsidR="00927B09" w:rsidRPr="00927B09" w:rsidRDefault="00927B09" w:rsidP="00927B09">
      <w:pPr>
        <w:pStyle w:val="Listenabsatz"/>
        <w:ind w:left="0"/>
        <w:jc w:val="both"/>
        <w:rPr>
          <w:rFonts w:ascii="Arial" w:hAnsi="Arial" w:cs="Arial"/>
          <w:sz w:val="20"/>
          <w:szCs w:val="21"/>
        </w:rPr>
      </w:pPr>
      <w:r w:rsidRPr="00927B09">
        <w:rPr>
          <w:rFonts w:ascii="Arial" w:hAnsi="Arial" w:cs="Arial"/>
          <w:sz w:val="20"/>
          <w:szCs w:val="21"/>
        </w:rPr>
        <w:t xml:space="preserve">1. Ein Bewerber, der Ansprüche wegen einer behaupteten Benachteiligung wegen eines in § 1 AGG genannten Grundes geltend macht, muss zumindest Indizien vortragen, die mit überwiegender Wahrscheinlichkeit darauf schließen lassen, dass eine Benachteiligung wegen eines in § 1 AGG genannten Grundes erfolgt ist (Anschluss an BAG 16. Mai 2019 - 8 AZR 315/18 - </w:t>
      </w:r>
      <w:proofErr w:type="spellStart"/>
      <w:r w:rsidRPr="00927B09">
        <w:rPr>
          <w:rFonts w:ascii="Arial" w:hAnsi="Arial" w:cs="Arial"/>
          <w:sz w:val="20"/>
          <w:szCs w:val="21"/>
        </w:rPr>
        <w:t>Rn</w:t>
      </w:r>
      <w:proofErr w:type="spellEnd"/>
      <w:r w:rsidRPr="00927B09">
        <w:rPr>
          <w:rFonts w:ascii="Arial" w:hAnsi="Arial" w:cs="Arial"/>
          <w:sz w:val="20"/>
          <w:szCs w:val="21"/>
        </w:rPr>
        <w:t>. 15).</w:t>
      </w:r>
    </w:p>
    <w:p w:rsidR="00927B09" w:rsidRPr="00927B09" w:rsidRDefault="00927B09" w:rsidP="00927B09">
      <w:pPr>
        <w:pStyle w:val="Listenabsatz"/>
        <w:ind w:left="0"/>
        <w:jc w:val="both"/>
        <w:rPr>
          <w:rFonts w:ascii="Arial" w:hAnsi="Arial" w:cs="Arial"/>
          <w:sz w:val="20"/>
          <w:szCs w:val="21"/>
        </w:rPr>
      </w:pPr>
      <w:r w:rsidRPr="00927B09">
        <w:rPr>
          <w:rFonts w:ascii="Arial" w:hAnsi="Arial" w:cs="Arial"/>
          <w:sz w:val="20"/>
          <w:szCs w:val="21"/>
        </w:rPr>
        <w:t xml:space="preserve">2. Das Entschädigungsverlangen eines Bewerbers ist rechtsmissbräuchlich, wenn er sich nicht beworben hat, um die ausgeschriebene Stelle zu erhalten, sondern zu dem Zweck, den Status eines Bewerbers </w:t>
      </w:r>
      <w:proofErr w:type="spellStart"/>
      <w:r w:rsidRPr="00927B09">
        <w:rPr>
          <w:rFonts w:ascii="Arial" w:hAnsi="Arial" w:cs="Arial"/>
          <w:sz w:val="20"/>
          <w:szCs w:val="21"/>
        </w:rPr>
        <w:t>iSv</w:t>
      </w:r>
      <w:proofErr w:type="spellEnd"/>
      <w:r w:rsidRPr="00927B09">
        <w:rPr>
          <w:rFonts w:ascii="Arial" w:hAnsi="Arial" w:cs="Arial"/>
          <w:sz w:val="20"/>
          <w:szCs w:val="21"/>
        </w:rPr>
        <w:t xml:space="preserve">. § 6 Abs. 1 Satz 2 AGG zu erlangen mit dem ausschließlichen Ziel, eine Entschädigung geltend zu machen (Anschluss an </w:t>
      </w:r>
      <w:hyperlink r:id="rId7" w:tooltip="BAG 8. Senat, 8 AZR 562/16, Urteil, 25.10.2018, Entschädigung nach dem AGG - objektive Eignung - Benachteiligung wegen der Religion und/oder ..., Langtext vorhanden" w:history="1">
        <w:r w:rsidRPr="00927B09">
          <w:rPr>
            <w:rStyle w:val="Hyperlink"/>
            <w:rFonts w:ascii="Arial" w:hAnsi="Arial" w:cs="Arial"/>
            <w:color w:val="auto"/>
            <w:sz w:val="20"/>
            <w:szCs w:val="21"/>
            <w:u w:val="none"/>
          </w:rPr>
          <w:t>BAG 25. Oktober 2018 - 8 AZR 562/16</w:t>
        </w:r>
      </w:hyperlink>
      <w:r w:rsidRPr="00927B09">
        <w:rPr>
          <w:rFonts w:ascii="Arial" w:hAnsi="Arial" w:cs="Arial"/>
          <w:sz w:val="20"/>
          <w:szCs w:val="21"/>
        </w:rPr>
        <w:t xml:space="preserve"> - </w:t>
      </w:r>
      <w:hyperlink r:id="rId8" w:tooltip="BAG 8. Senat, 8 AZR 562/16, Urteil, 25.10.2018, Entschädigung nach dem AGG - objektive Eignung - Benachteiligung wegen der Religion und/oder ..., Langtext vorhanden" w:history="1">
        <w:proofErr w:type="spellStart"/>
        <w:r w:rsidRPr="00927B09">
          <w:rPr>
            <w:rStyle w:val="Hyperlink"/>
            <w:rFonts w:ascii="Arial" w:hAnsi="Arial" w:cs="Arial"/>
            <w:color w:val="auto"/>
            <w:sz w:val="20"/>
            <w:szCs w:val="21"/>
            <w:u w:val="none"/>
          </w:rPr>
          <w:t>Rn</w:t>
        </w:r>
        <w:proofErr w:type="spellEnd"/>
        <w:r w:rsidRPr="00927B09">
          <w:rPr>
            <w:rStyle w:val="Hyperlink"/>
            <w:rFonts w:ascii="Arial" w:hAnsi="Arial" w:cs="Arial"/>
            <w:color w:val="auto"/>
            <w:sz w:val="20"/>
            <w:szCs w:val="21"/>
            <w:u w:val="none"/>
          </w:rPr>
          <w:t>. 45</w:t>
        </w:r>
      </w:hyperlink>
      <w:r w:rsidRPr="00927B09">
        <w:rPr>
          <w:rFonts w:ascii="Arial" w:hAnsi="Arial" w:cs="Arial"/>
          <w:sz w:val="20"/>
          <w:szCs w:val="21"/>
        </w:rPr>
        <w:t>).</w:t>
      </w:r>
    </w:p>
    <w:p w:rsidR="00927B09" w:rsidRPr="00927B09" w:rsidRDefault="00927B09" w:rsidP="00927B09">
      <w:pPr>
        <w:pStyle w:val="Listenabsatz"/>
        <w:ind w:left="0"/>
        <w:jc w:val="both"/>
        <w:rPr>
          <w:rFonts w:ascii="Arial" w:hAnsi="Arial" w:cs="Arial"/>
          <w:sz w:val="20"/>
          <w:szCs w:val="21"/>
        </w:rPr>
      </w:pPr>
      <w:r w:rsidRPr="00927B09">
        <w:rPr>
          <w:rFonts w:ascii="Arial" w:hAnsi="Arial" w:cs="Arial"/>
          <w:sz w:val="20"/>
          <w:szCs w:val="21"/>
        </w:rPr>
        <w:lastRenderedPageBreak/>
        <w:t>3. Einzelfall zu einer durch die Gestaltung und den Inhalt des Bewerbungsschreibens provozierten Absage.</w:t>
      </w:r>
    </w:p>
    <w:p w:rsidR="00927B09" w:rsidRDefault="00927B09" w:rsidP="00927B09">
      <w:pPr>
        <w:pStyle w:val="Listenabsatz"/>
        <w:ind w:left="0"/>
        <w:jc w:val="both"/>
        <w:rPr>
          <w:rFonts w:ascii="Arial" w:hAnsi="Arial" w:cs="Arial"/>
          <w:sz w:val="20"/>
          <w:szCs w:val="21"/>
        </w:rPr>
      </w:pPr>
    </w:p>
    <w:p w:rsidR="00927B09" w:rsidRDefault="00927B09" w:rsidP="00927B09">
      <w:pPr>
        <w:pStyle w:val="Listenabsatz"/>
        <w:ind w:left="0"/>
        <w:jc w:val="center"/>
        <w:rPr>
          <w:rFonts w:ascii="Arial" w:hAnsi="Arial" w:cs="Arial"/>
          <w:b/>
          <w:sz w:val="20"/>
        </w:rPr>
      </w:pPr>
      <w:r w:rsidRPr="00927B09">
        <w:rPr>
          <w:rFonts w:ascii="Arial" w:hAnsi="Arial" w:cs="Arial"/>
          <w:b/>
          <w:sz w:val="20"/>
        </w:rPr>
        <w:t>V.</w:t>
      </w:r>
    </w:p>
    <w:p w:rsidR="00927B09" w:rsidRPr="00927B09" w:rsidRDefault="00927B09" w:rsidP="00927B09">
      <w:pPr>
        <w:pStyle w:val="Listenabsatz"/>
        <w:ind w:left="0"/>
        <w:jc w:val="center"/>
        <w:rPr>
          <w:rFonts w:ascii="Arial" w:hAnsi="Arial" w:cs="Arial"/>
          <w:b/>
          <w:sz w:val="20"/>
        </w:rPr>
      </w:pPr>
      <w:r w:rsidRPr="00927B09">
        <w:rPr>
          <w:rFonts w:ascii="Arial" w:hAnsi="Arial" w:cs="Arial"/>
          <w:b/>
          <w:sz w:val="20"/>
        </w:rPr>
        <w:t>Schenkungsteuer: Grundstücksschenkung an ein Kind bei anschließender Weiterschenkung als Zuwendung an das Enkelkind</w:t>
      </w:r>
    </w:p>
    <w:p w:rsidR="00927B09" w:rsidRDefault="00927B09" w:rsidP="00927B09">
      <w:pPr>
        <w:pStyle w:val="Listenabsatz"/>
        <w:ind w:left="0"/>
        <w:jc w:val="center"/>
        <w:rPr>
          <w:rFonts w:ascii="Arial" w:hAnsi="Arial" w:cs="Arial"/>
          <w:sz w:val="20"/>
        </w:rPr>
      </w:pPr>
      <w:r w:rsidRPr="00927B09">
        <w:rPr>
          <w:rFonts w:ascii="Arial" w:hAnsi="Arial" w:cs="Arial"/>
          <w:sz w:val="20"/>
        </w:rPr>
        <w:t>FG Hamburg, Urteil vom 20. August 2019</w:t>
      </w:r>
      <w:r>
        <w:rPr>
          <w:rFonts w:ascii="Arial" w:hAnsi="Arial" w:cs="Arial"/>
          <w:sz w:val="20"/>
        </w:rPr>
        <w:t>, 3 K 123/18</w:t>
      </w:r>
    </w:p>
    <w:p w:rsidR="00927B09" w:rsidRDefault="00927B09" w:rsidP="00927B09">
      <w:pPr>
        <w:pStyle w:val="Listenabsatz"/>
        <w:ind w:left="0"/>
        <w:jc w:val="both"/>
        <w:rPr>
          <w:rFonts w:ascii="Arial" w:hAnsi="Arial" w:cs="Arial"/>
          <w:sz w:val="20"/>
        </w:rPr>
      </w:pPr>
    </w:p>
    <w:p w:rsidR="00927B09" w:rsidRPr="00927B09" w:rsidRDefault="00927B09" w:rsidP="00927B09">
      <w:pPr>
        <w:pStyle w:val="Listenabsatz"/>
        <w:ind w:left="0"/>
        <w:jc w:val="both"/>
        <w:rPr>
          <w:rFonts w:ascii="Arial" w:hAnsi="Arial" w:cs="Arial"/>
          <w:sz w:val="20"/>
        </w:rPr>
      </w:pPr>
      <w:r w:rsidRPr="00927B09">
        <w:rPr>
          <w:rFonts w:ascii="Arial" w:hAnsi="Arial" w:cs="Arial"/>
          <w:sz w:val="20"/>
        </w:rPr>
        <w:t xml:space="preserve">1. Überträgt ein Großelternteil ein Grundstück schenkweise auf ein Kind und schenkt das bedachte Kind unmittelbar im Anschluss an die ausgeführte Schenkung einen Grundstücksteil an das Enkelkind weiter, ohne zur Weiterschenkung verpflichtet zu sein, liegt schenkungsteuerrechtlich keine Zuwendung des Großelternteils an das Enkelkind vor </w:t>
      </w:r>
      <w:bookmarkStart w:id="2" w:name="_retrdlink_47"/>
      <w:r w:rsidRPr="00927B09">
        <w:rPr>
          <w:rFonts w:ascii="Arial" w:hAnsi="Arial" w:cs="Arial"/>
          <w:sz w:val="20"/>
        </w:rPr>
        <w:t>(Rn.47)</w:t>
      </w:r>
      <w:bookmarkEnd w:id="2"/>
      <w:r w:rsidRPr="00927B09">
        <w:rPr>
          <w:rFonts w:ascii="Arial" w:hAnsi="Arial" w:cs="Arial"/>
          <w:sz w:val="20"/>
        </w:rPr>
        <w:t>.</w:t>
      </w:r>
    </w:p>
    <w:p w:rsidR="00927B09" w:rsidRPr="00927B09" w:rsidRDefault="00927B09" w:rsidP="00927B09">
      <w:pPr>
        <w:pStyle w:val="Listenabsatz"/>
        <w:ind w:left="0"/>
        <w:jc w:val="both"/>
        <w:rPr>
          <w:rFonts w:ascii="Arial" w:hAnsi="Arial" w:cs="Arial"/>
          <w:sz w:val="20"/>
        </w:rPr>
      </w:pPr>
      <w:r w:rsidRPr="00927B09">
        <w:rPr>
          <w:rFonts w:ascii="Arial" w:hAnsi="Arial" w:cs="Arial"/>
          <w:sz w:val="20"/>
        </w:rPr>
        <w:t xml:space="preserve">2. Dass die Weiterübertragung in einem gemeinschaftlichen Testament der Großeltern vorgesehen ist, reicht für sich nicht aus, um eine Zuwendung des Großelternteils an das Enkelkind zu begründen </w:t>
      </w:r>
      <w:bookmarkStart w:id="3" w:name="_retrdlink_53"/>
      <w:r w:rsidRPr="00927B09">
        <w:rPr>
          <w:rFonts w:ascii="Arial" w:hAnsi="Arial" w:cs="Arial"/>
          <w:sz w:val="20"/>
        </w:rPr>
        <w:t>(Rn.53)</w:t>
      </w:r>
      <w:bookmarkEnd w:id="3"/>
      <w:r w:rsidRPr="00927B09">
        <w:rPr>
          <w:rFonts w:ascii="Arial" w:hAnsi="Arial" w:cs="Arial"/>
          <w:sz w:val="20"/>
        </w:rPr>
        <w:t>.</w:t>
      </w:r>
    </w:p>
    <w:p w:rsidR="00927B09" w:rsidRDefault="00927B09" w:rsidP="00927B09">
      <w:pPr>
        <w:pStyle w:val="Listenabsatz"/>
        <w:ind w:left="0"/>
        <w:jc w:val="both"/>
        <w:rPr>
          <w:rFonts w:ascii="Arial" w:hAnsi="Arial" w:cs="Arial"/>
          <w:sz w:val="20"/>
        </w:rPr>
      </w:pPr>
    </w:p>
    <w:p w:rsidR="00927B09" w:rsidRDefault="00927B09" w:rsidP="00927B09">
      <w:pPr>
        <w:pStyle w:val="Listenabsatz"/>
        <w:ind w:left="0"/>
        <w:jc w:val="center"/>
        <w:rPr>
          <w:rFonts w:ascii="Arial" w:hAnsi="Arial" w:cs="Arial"/>
          <w:b/>
          <w:sz w:val="20"/>
        </w:rPr>
      </w:pPr>
      <w:r w:rsidRPr="00927B09">
        <w:rPr>
          <w:rFonts w:ascii="Arial" w:hAnsi="Arial" w:cs="Arial"/>
          <w:b/>
          <w:sz w:val="20"/>
        </w:rPr>
        <w:t>VI.</w:t>
      </w:r>
    </w:p>
    <w:p w:rsidR="00927B09" w:rsidRPr="00927B09" w:rsidRDefault="00927B09" w:rsidP="00927B09">
      <w:pPr>
        <w:pStyle w:val="Listenabsatz"/>
        <w:ind w:left="0"/>
        <w:jc w:val="center"/>
        <w:rPr>
          <w:rFonts w:ascii="Arial" w:hAnsi="Arial" w:cs="Arial"/>
          <w:b/>
          <w:sz w:val="20"/>
        </w:rPr>
      </w:pPr>
      <w:r w:rsidRPr="00927B09">
        <w:rPr>
          <w:rFonts w:ascii="Arial" w:hAnsi="Arial" w:cs="Arial"/>
          <w:b/>
          <w:sz w:val="20"/>
        </w:rPr>
        <w:t xml:space="preserve">Zur Höhe der ersatzfähigen Mietwagenkosten: Bei der Schätzung kann von dem arithmetischen Mittel der Fraunhofer-Liste und der </w:t>
      </w:r>
      <w:proofErr w:type="spellStart"/>
      <w:r w:rsidRPr="00927B09">
        <w:rPr>
          <w:rFonts w:ascii="Arial" w:hAnsi="Arial" w:cs="Arial"/>
          <w:b/>
          <w:sz w:val="20"/>
        </w:rPr>
        <w:t>Schwacke</w:t>
      </w:r>
      <w:proofErr w:type="spellEnd"/>
      <w:r w:rsidRPr="00927B09">
        <w:rPr>
          <w:rFonts w:ascii="Arial" w:hAnsi="Arial" w:cs="Arial"/>
          <w:b/>
          <w:sz w:val="20"/>
        </w:rPr>
        <w:t>-Liste ausgegangen werden.</w:t>
      </w:r>
    </w:p>
    <w:p w:rsidR="00927B09" w:rsidRPr="00927B09" w:rsidRDefault="00927B09" w:rsidP="00927B09">
      <w:pPr>
        <w:pStyle w:val="Listenabsatz"/>
        <w:ind w:left="0"/>
        <w:jc w:val="center"/>
        <w:rPr>
          <w:rFonts w:ascii="Arial" w:hAnsi="Arial" w:cs="Arial"/>
          <w:sz w:val="20"/>
        </w:rPr>
      </w:pPr>
      <w:r w:rsidRPr="00927B09">
        <w:rPr>
          <w:rFonts w:ascii="Arial" w:hAnsi="Arial" w:cs="Arial"/>
          <w:sz w:val="20"/>
        </w:rPr>
        <w:t>Schleswig-Holsteinisches Oberlandesgericht, Urteil vom 28. November 2019</w:t>
      </w:r>
      <w:r>
        <w:rPr>
          <w:rFonts w:ascii="Arial" w:hAnsi="Arial" w:cs="Arial"/>
          <w:sz w:val="20"/>
        </w:rPr>
        <w:t>, Az.</w:t>
      </w:r>
      <w:r w:rsidRPr="00927B09">
        <w:rPr>
          <w:rFonts w:ascii="Arial" w:hAnsi="Arial" w:cs="Arial"/>
          <w:sz w:val="20"/>
        </w:rPr>
        <w:t xml:space="preserve"> 7 U 39/19</w:t>
      </w:r>
    </w:p>
    <w:p w:rsidR="00927B09" w:rsidRDefault="00927B09" w:rsidP="00927B09">
      <w:pPr>
        <w:pStyle w:val="Listenabsatz"/>
        <w:ind w:left="0"/>
        <w:jc w:val="both"/>
        <w:rPr>
          <w:rFonts w:ascii="Arial" w:hAnsi="Arial" w:cs="Arial"/>
          <w:sz w:val="20"/>
        </w:rPr>
      </w:pPr>
    </w:p>
    <w:p w:rsidR="00927B09" w:rsidRPr="00927B09" w:rsidRDefault="00927B09" w:rsidP="00927B09">
      <w:pPr>
        <w:pStyle w:val="Listenabsatz"/>
        <w:numPr>
          <w:ilvl w:val="0"/>
          <w:numId w:val="13"/>
        </w:numPr>
        <w:jc w:val="both"/>
        <w:rPr>
          <w:rFonts w:ascii="Arial" w:hAnsi="Arial" w:cs="Arial"/>
          <w:sz w:val="20"/>
        </w:rPr>
      </w:pPr>
      <w:r w:rsidRPr="00927B09">
        <w:rPr>
          <w:rFonts w:ascii="Arial" w:hAnsi="Arial" w:cs="Arial"/>
          <w:sz w:val="20"/>
        </w:rPr>
        <w:t xml:space="preserve">Mietwagenkosten sind nur im Umfang des günstigsten Vergleichsangebots auf dem örtlich relevanten Markt erstattungsfähig. Der Geschädigte hat grundsätzlich darzulegen und ggf. nachzuweisen, dass ihm unter Berücksichtigung seiner individuellen Erkenntnis- und Einflussmöglichkeiten sowie der gerade für ihn bestehenden Schwierigkeiten unter zumutbaren Anstrengungen auf dem in seiner Lage zeitlich und örtlich relevanten Markt - zumindest auf Nachfrage - kein wesentlich günstiger Tarif zugänglich war. </w:t>
      </w:r>
    </w:p>
    <w:p w:rsidR="00927B09" w:rsidRPr="00927B09" w:rsidRDefault="00927B09" w:rsidP="00927B09">
      <w:pPr>
        <w:jc w:val="both"/>
        <w:rPr>
          <w:rFonts w:ascii="Arial" w:hAnsi="Arial" w:cs="Arial"/>
          <w:sz w:val="20"/>
        </w:rPr>
      </w:pPr>
    </w:p>
    <w:p w:rsidR="00927B09" w:rsidRDefault="00927B09" w:rsidP="00927B09">
      <w:pPr>
        <w:pStyle w:val="Listenabsatz"/>
        <w:numPr>
          <w:ilvl w:val="0"/>
          <w:numId w:val="13"/>
        </w:numPr>
        <w:jc w:val="both"/>
        <w:rPr>
          <w:rFonts w:ascii="Arial" w:hAnsi="Arial" w:cs="Arial"/>
          <w:sz w:val="20"/>
        </w:rPr>
      </w:pPr>
      <w:r w:rsidRPr="00927B09">
        <w:rPr>
          <w:rFonts w:ascii="Arial" w:hAnsi="Arial" w:cs="Arial"/>
          <w:sz w:val="20"/>
        </w:rPr>
        <w:t xml:space="preserve">Soweit der Haftungsgrund feststeht und lediglich die Angemessenheit der angefallenen Mietwagenkosten streitig ist, soll trotz fehlender Darlegung der eingetretene Mindestschaden nach </w:t>
      </w:r>
      <w:hyperlink r:id="rId9" w:tooltip="§ 287 ZPO, Bundesnorm, Schadensermittlung; Höhe der Forderung, Zivilprozessordnung, gültig ab 21.10.2005" w:history="1">
        <w:r w:rsidRPr="00927B09">
          <w:rPr>
            <w:rStyle w:val="Hyperlink"/>
            <w:rFonts w:ascii="Arial" w:hAnsi="Arial" w:cs="Arial"/>
            <w:sz w:val="20"/>
          </w:rPr>
          <w:t>§ 287 ZPO</w:t>
        </w:r>
      </w:hyperlink>
      <w:r w:rsidRPr="00927B09">
        <w:rPr>
          <w:rFonts w:ascii="Arial" w:hAnsi="Arial" w:cs="Arial"/>
          <w:sz w:val="20"/>
        </w:rPr>
        <w:t xml:space="preserve"> geschätzt werden.</w:t>
      </w:r>
    </w:p>
    <w:p w:rsidR="00927B09" w:rsidRPr="00927B09" w:rsidRDefault="00927B09" w:rsidP="00927B09">
      <w:pPr>
        <w:pStyle w:val="Listenabsatz"/>
        <w:ind w:left="0"/>
        <w:jc w:val="both"/>
        <w:rPr>
          <w:rFonts w:ascii="Arial" w:hAnsi="Arial" w:cs="Arial"/>
          <w:sz w:val="20"/>
        </w:rPr>
      </w:pPr>
    </w:p>
    <w:p w:rsidR="00927B09" w:rsidRDefault="00927B09" w:rsidP="00927B09">
      <w:pPr>
        <w:pStyle w:val="Listenabsatz"/>
        <w:numPr>
          <w:ilvl w:val="0"/>
          <w:numId w:val="13"/>
        </w:numPr>
        <w:jc w:val="both"/>
        <w:rPr>
          <w:rFonts w:ascii="Arial" w:hAnsi="Arial" w:cs="Arial"/>
          <w:sz w:val="20"/>
        </w:rPr>
      </w:pPr>
      <w:r w:rsidRPr="00927B09">
        <w:rPr>
          <w:rFonts w:ascii="Arial" w:hAnsi="Arial" w:cs="Arial"/>
          <w:sz w:val="20"/>
        </w:rPr>
        <w:t xml:space="preserve">Der Zivilrichter ist grundsätzlich berechtigt, seiner Schadensschätzung sowohl die </w:t>
      </w:r>
      <w:proofErr w:type="spellStart"/>
      <w:r w:rsidRPr="00927B09">
        <w:rPr>
          <w:rFonts w:ascii="Arial" w:hAnsi="Arial" w:cs="Arial"/>
          <w:sz w:val="20"/>
        </w:rPr>
        <w:t>Schwacke</w:t>
      </w:r>
      <w:proofErr w:type="spellEnd"/>
      <w:r w:rsidRPr="00927B09">
        <w:rPr>
          <w:rFonts w:ascii="Arial" w:hAnsi="Arial" w:cs="Arial"/>
          <w:sz w:val="20"/>
        </w:rPr>
        <w:t xml:space="preserve">-Liste als auch den Fraunhofer-Mietpreisspiegel oder eine Kombination aus beidem (arithmetisches Mittel) zugrunde zu legen. Beide Listen sind grundsätzlich zur Schätzung der erforderlichen Mietwagenkosten geeignet, insoweit gibt es kein Richtig oder Falsch. </w:t>
      </w:r>
    </w:p>
    <w:p w:rsidR="00927B09" w:rsidRPr="00927B09" w:rsidRDefault="00927B09" w:rsidP="00927B09">
      <w:pPr>
        <w:pStyle w:val="Listenabsatz"/>
        <w:ind w:left="0"/>
        <w:jc w:val="both"/>
        <w:rPr>
          <w:rFonts w:ascii="Arial" w:hAnsi="Arial" w:cs="Arial"/>
          <w:sz w:val="20"/>
        </w:rPr>
      </w:pPr>
    </w:p>
    <w:p w:rsidR="00927B09" w:rsidRDefault="00927B09" w:rsidP="00927B09">
      <w:pPr>
        <w:pStyle w:val="Listenabsatz"/>
        <w:numPr>
          <w:ilvl w:val="0"/>
          <w:numId w:val="13"/>
        </w:numPr>
        <w:jc w:val="both"/>
        <w:rPr>
          <w:rFonts w:ascii="Arial" w:hAnsi="Arial" w:cs="Arial"/>
          <w:sz w:val="20"/>
        </w:rPr>
      </w:pPr>
      <w:r w:rsidRPr="00927B09">
        <w:rPr>
          <w:rFonts w:ascii="Arial" w:hAnsi="Arial" w:cs="Arial"/>
          <w:sz w:val="20"/>
        </w:rPr>
        <w:t xml:space="preserve">Es ist insbesondere sachgerecht, den Mindestschaden auf Grundlage des arithmetischen Mittels der einschlägigen Mietwagenkosten aus der </w:t>
      </w:r>
      <w:proofErr w:type="spellStart"/>
      <w:r w:rsidRPr="00927B09">
        <w:rPr>
          <w:rFonts w:ascii="Arial" w:hAnsi="Arial" w:cs="Arial"/>
          <w:sz w:val="20"/>
        </w:rPr>
        <w:t>Schwacke</w:t>
      </w:r>
      <w:proofErr w:type="spellEnd"/>
      <w:r w:rsidRPr="00927B09">
        <w:rPr>
          <w:rFonts w:ascii="Arial" w:hAnsi="Arial" w:cs="Arial"/>
          <w:sz w:val="20"/>
        </w:rPr>
        <w:t>-Liste und der Fraunhofer-Liste zu schätzen.</w:t>
      </w:r>
    </w:p>
    <w:p w:rsidR="00927B09" w:rsidRPr="00927B09" w:rsidRDefault="00927B09" w:rsidP="00927B09">
      <w:pPr>
        <w:pStyle w:val="Listenabsatz"/>
        <w:ind w:left="0"/>
        <w:jc w:val="both"/>
        <w:rPr>
          <w:rFonts w:ascii="Arial" w:hAnsi="Arial" w:cs="Arial"/>
          <w:sz w:val="20"/>
        </w:rPr>
      </w:pPr>
    </w:p>
    <w:p w:rsidR="00927B09" w:rsidRDefault="00927B09" w:rsidP="00927B09">
      <w:pPr>
        <w:pStyle w:val="Listenabsatz"/>
        <w:numPr>
          <w:ilvl w:val="0"/>
          <w:numId w:val="13"/>
        </w:numPr>
        <w:jc w:val="both"/>
        <w:rPr>
          <w:rFonts w:ascii="Arial" w:hAnsi="Arial" w:cs="Arial"/>
          <w:sz w:val="20"/>
        </w:rPr>
      </w:pPr>
      <w:r w:rsidRPr="00927B09">
        <w:rPr>
          <w:rFonts w:ascii="Arial" w:hAnsi="Arial" w:cs="Arial"/>
          <w:sz w:val="20"/>
        </w:rPr>
        <w:t>Hinsichtlich der Fahrzeugklasse ist auf den angemieteten Ersatzwagen und nicht auf den beschädigten Unfallwagen abzustellen. Bei Anmietung eines klassentieferen Fahrzeugs ist kein Abschlag für ersparte Eigenaufwendungen vorzunehmen.</w:t>
      </w:r>
    </w:p>
    <w:p w:rsidR="00927B09" w:rsidRPr="00927B09" w:rsidRDefault="00927B09" w:rsidP="00927B09">
      <w:pPr>
        <w:pStyle w:val="Listenabsatz"/>
        <w:ind w:left="0"/>
        <w:jc w:val="both"/>
        <w:rPr>
          <w:rFonts w:ascii="Arial" w:hAnsi="Arial" w:cs="Arial"/>
          <w:sz w:val="20"/>
        </w:rPr>
      </w:pPr>
    </w:p>
    <w:p w:rsidR="00927B09" w:rsidRDefault="00927B09" w:rsidP="00927B09">
      <w:pPr>
        <w:pStyle w:val="Listenabsatz"/>
        <w:numPr>
          <w:ilvl w:val="0"/>
          <w:numId w:val="13"/>
        </w:numPr>
        <w:jc w:val="both"/>
        <w:rPr>
          <w:rFonts w:ascii="Arial" w:hAnsi="Arial" w:cs="Arial"/>
          <w:sz w:val="20"/>
        </w:rPr>
      </w:pPr>
      <w:r w:rsidRPr="00927B09">
        <w:rPr>
          <w:rFonts w:ascii="Arial" w:hAnsi="Arial" w:cs="Arial"/>
          <w:sz w:val="20"/>
        </w:rPr>
        <w:t xml:space="preserve">Ein pauschaler Aufschlag auf den ermittelten „Normaltarif“ ist nur dann gerechtfertigt, wenn dies zur Abgeltung der mit der unfallbedingten Anmietung verbundenen Sondersituation oder der besonderen Vorhaltekosten des Fahrzeugvermieters dient. Ein solcher Aufschlag ist jedenfalls für einige Tage insbesondere dann gerechtfertigt, wenn der Geschädigte aufgrund einer unfallbedingten Not- und Eilsituation oder in Ermangelung ausreichender finanzieller Liquidität nicht in der Lage war, eine Anmietung zum günstigeren Normaltarif zu erhalten. Dies ist jedoch vom Geschädigten darzulegen und ggf. nachzuweisen. </w:t>
      </w:r>
    </w:p>
    <w:p w:rsidR="00927B09" w:rsidRPr="00927B09" w:rsidRDefault="00927B09" w:rsidP="00406EB5">
      <w:pPr>
        <w:pStyle w:val="Listenabsatz"/>
        <w:ind w:left="360"/>
        <w:jc w:val="both"/>
        <w:rPr>
          <w:rFonts w:ascii="Arial" w:hAnsi="Arial" w:cs="Arial"/>
          <w:sz w:val="20"/>
        </w:rPr>
      </w:pPr>
    </w:p>
    <w:p w:rsidR="00927B09" w:rsidRPr="00927B09" w:rsidRDefault="00927B09" w:rsidP="00927B09">
      <w:pPr>
        <w:pStyle w:val="Listenabsatz"/>
        <w:numPr>
          <w:ilvl w:val="0"/>
          <w:numId w:val="13"/>
        </w:numPr>
        <w:jc w:val="both"/>
        <w:rPr>
          <w:rFonts w:ascii="Arial" w:hAnsi="Arial" w:cs="Arial"/>
          <w:sz w:val="20"/>
        </w:rPr>
      </w:pPr>
      <w:r w:rsidRPr="00927B09">
        <w:rPr>
          <w:rFonts w:ascii="Arial" w:hAnsi="Arial" w:cs="Arial"/>
          <w:sz w:val="20"/>
        </w:rPr>
        <w:t xml:space="preserve">Gesondert in Rechnung gestellte weitere Leistungen wie Winterreifen, Zustellung und Abholung des Ersatzfahrzeugs, weiterer Fahrer, Anhängerkupplung und Navigationsgerät sind dem arithmetischen Mittel aus den Tabellen von Fraunhofer und </w:t>
      </w:r>
      <w:proofErr w:type="spellStart"/>
      <w:r w:rsidRPr="00927B09">
        <w:rPr>
          <w:rFonts w:ascii="Arial" w:hAnsi="Arial" w:cs="Arial"/>
          <w:sz w:val="20"/>
        </w:rPr>
        <w:t>Schwacke</w:t>
      </w:r>
      <w:proofErr w:type="spellEnd"/>
      <w:r w:rsidRPr="00927B09">
        <w:rPr>
          <w:rFonts w:ascii="Arial" w:hAnsi="Arial" w:cs="Arial"/>
          <w:sz w:val="20"/>
        </w:rPr>
        <w:t xml:space="preserve"> nur dann zuzuschlagen, sofern sie im Rahmen der streitgegenständlichen Anmietung auch tatsächlich angefallen sind.</w:t>
      </w:r>
    </w:p>
    <w:p w:rsidR="00915260" w:rsidRDefault="00915260">
      <w:pPr>
        <w:spacing w:after="160" w:line="259" w:lineRule="auto"/>
        <w:rPr>
          <w:rFonts w:ascii="Arial" w:hAnsi="Arial" w:cs="Arial"/>
          <w:sz w:val="20"/>
        </w:rPr>
      </w:pPr>
      <w:r>
        <w:rPr>
          <w:rFonts w:ascii="Arial" w:hAnsi="Arial" w:cs="Arial"/>
          <w:sz w:val="20"/>
        </w:rPr>
        <w:br w:type="page"/>
      </w:r>
    </w:p>
    <w:p w:rsidR="00927B09" w:rsidRPr="00927B09" w:rsidRDefault="00927B09" w:rsidP="00927B09">
      <w:pPr>
        <w:pStyle w:val="Listenabsatz"/>
        <w:ind w:left="0"/>
        <w:jc w:val="both"/>
        <w:rPr>
          <w:rFonts w:ascii="Arial" w:hAnsi="Arial" w:cs="Arial"/>
          <w:sz w:val="20"/>
        </w:rPr>
      </w:pPr>
      <w:bookmarkStart w:id="4" w:name="_GoBack"/>
      <w:bookmarkEnd w:id="4"/>
    </w:p>
    <w:p w:rsidR="00E85ED0" w:rsidRDefault="00406EB5" w:rsidP="00406EB5">
      <w:pPr>
        <w:jc w:val="center"/>
        <w:rPr>
          <w:rFonts w:ascii="Arial" w:hAnsi="Arial" w:cs="Arial"/>
          <w:b/>
          <w:sz w:val="20"/>
        </w:rPr>
      </w:pPr>
      <w:r w:rsidRPr="00406EB5">
        <w:rPr>
          <w:rFonts w:ascii="Arial" w:hAnsi="Arial" w:cs="Arial"/>
          <w:b/>
          <w:sz w:val="20"/>
        </w:rPr>
        <w:t>VII.</w:t>
      </w:r>
    </w:p>
    <w:p w:rsidR="00406EB5" w:rsidRPr="00406EB5" w:rsidRDefault="00406EB5" w:rsidP="00406EB5">
      <w:pPr>
        <w:jc w:val="center"/>
        <w:rPr>
          <w:rFonts w:ascii="Arial" w:hAnsi="Arial" w:cs="Arial"/>
          <w:b/>
          <w:sz w:val="20"/>
        </w:rPr>
      </w:pPr>
      <w:r w:rsidRPr="00406EB5">
        <w:rPr>
          <w:rFonts w:ascii="Arial" w:hAnsi="Arial" w:cs="Arial"/>
          <w:b/>
          <w:sz w:val="20"/>
        </w:rPr>
        <w:t xml:space="preserve">Sozialversicherungspflicht </w:t>
      </w:r>
      <w:proofErr w:type="spellStart"/>
      <w:r w:rsidRPr="00406EB5">
        <w:rPr>
          <w:rFonts w:ascii="Arial" w:hAnsi="Arial" w:cs="Arial"/>
          <w:b/>
          <w:sz w:val="20"/>
        </w:rPr>
        <w:t>bzw</w:t>
      </w:r>
      <w:proofErr w:type="spellEnd"/>
      <w:r w:rsidRPr="00406EB5">
        <w:rPr>
          <w:rFonts w:ascii="Arial" w:hAnsi="Arial" w:cs="Arial"/>
          <w:b/>
          <w:sz w:val="20"/>
        </w:rPr>
        <w:t xml:space="preserve"> -freiheit - Gesellschafter-Geschäftsführer einer GmbH - Kapitalbeteiligung - Rechtsmacht - abhängige Beschäftigung - selbstständige Tätigkeit - Abgrenzung</w:t>
      </w:r>
    </w:p>
    <w:p w:rsidR="00406EB5" w:rsidRPr="00406EB5" w:rsidRDefault="00406EB5" w:rsidP="00406EB5">
      <w:pPr>
        <w:jc w:val="center"/>
        <w:rPr>
          <w:rFonts w:ascii="Arial" w:hAnsi="Arial" w:cs="Arial"/>
          <w:sz w:val="20"/>
        </w:rPr>
      </w:pPr>
      <w:r w:rsidRPr="00406EB5">
        <w:rPr>
          <w:rFonts w:ascii="Arial" w:hAnsi="Arial" w:cs="Arial"/>
          <w:sz w:val="20"/>
        </w:rPr>
        <w:t>Hessisches Landessozialgeric</w:t>
      </w:r>
      <w:r>
        <w:rPr>
          <w:rFonts w:ascii="Arial" w:hAnsi="Arial" w:cs="Arial"/>
          <w:sz w:val="20"/>
        </w:rPr>
        <w:t>ht, Urteil vom 31. Oktober 2019, Az. L 1 KR 502/18</w:t>
      </w:r>
    </w:p>
    <w:p w:rsidR="00E85ED0" w:rsidRPr="00406EB5" w:rsidRDefault="00E85ED0" w:rsidP="00E85ED0">
      <w:pPr>
        <w:rPr>
          <w:rFonts w:ascii="Arial" w:hAnsi="Arial" w:cs="Arial"/>
          <w:sz w:val="20"/>
        </w:rPr>
      </w:pPr>
    </w:p>
    <w:p w:rsidR="00406EB5" w:rsidRPr="00406EB5" w:rsidRDefault="00406EB5" w:rsidP="00406EB5">
      <w:pPr>
        <w:jc w:val="both"/>
        <w:rPr>
          <w:rFonts w:ascii="Arial" w:hAnsi="Arial" w:cs="Arial"/>
          <w:sz w:val="20"/>
        </w:rPr>
      </w:pPr>
      <w:r w:rsidRPr="00406EB5">
        <w:rPr>
          <w:rFonts w:ascii="Arial" w:hAnsi="Arial" w:cs="Arial"/>
          <w:sz w:val="20"/>
        </w:rPr>
        <w:t xml:space="preserve">Gesellschafter-Geschäftsführer einer GmbH mit einer Kapitalbeteiligung von jeweils 33,33 % sind abhängig beschäftigt. Scheidet ein Gesellschafter-Geschäftsführer aus und wird sein Kapitalanteil auf die GmbH übertragen, so entspricht dies faktisch einer Aufteilung von je 50 %, so dass die beiden verbliebenen Gesellschafter als Geschäftsführer selbstständig tätig sind. </w:t>
      </w:r>
      <w:bookmarkStart w:id="5" w:name="_retrdlink_33"/>
      <w:r w:rsidRPr="00406EB5">
        <w:rPr>
          <w:rFonts w:ascii="Arial" w:hAnsi="Arial" w:cs="Arial"/>
          <w:sz w:val="20"/>
        </w:rPr>
        <w:t>(Rn.33)</w:t>
      </w:r>
      <w:bookmarkEnd w:id="5"/>
    </w:p>
    <w:p w:rsidR="00927B09" w:rsidRDefault="00927B09" w:rsidP="00E85ED0">
      <w:pPr>
        <w:rPr>
          <w:rFonts w:ascii="Arial" w:hAnsi="Arial" w:cs="Arial"/>
          <w:sz w:val="20"/>
        </w:rPr>
      </w:pPr>
    </w:p>
    <w:p w:rsidR="00406EB5" w:rsidRDefault="00406EB5" w:rsidP="00406EB5">
      <w:pPr>
        <w:jc w:val="center"/>
        <w:rPr>
          <w:rFonts w:ascii="Arial" w:hAnsi="Arial" w:cs="Arial"/>
          <w:b/>
          <w:sz w:val="20"/>
        </w:rPr>
      </w:pPr>
      <w:r w:rsidRPr="00406EB5">
        <w:rPr>
          <w:rFonts w:ascii="Arial" w:hAnsi="Arial" w:cs="Arial"/>
          <w:b/>
          <w:sz w:val="20"/>
        </w:rPr>
        <w:t>VIII.</w:t>
      </w:r>
    </w:p>
    <w:p w:rsidR="00406EB5" w:rsidRDefault="00406EB5" w:rsidP="00406EB5">
      <w:pPr>
        <w:jc w:val="center"/>
        <w:rPr>
          <w:rFonts w:ascii="Arial" w:hAnsi="Arial" w:cs="Arial"/>
          <w:b/>
          <w:sz w:val="20"/>
        </w:rPr>
      </w:pPr>
    </w:p>
    <w:p w:rsidR="00406EB5" w:rsidRDefault="00406EB5" w:rsidP="00406EB5">
      <w:pPr>
        <w:jc w:val="center"/>
        <w:rPr>
          <w:rFonts w:ascii="Arial" w:hAnsi="Arial" w:cs="Arial"/>
          <w:sz w:val="20"/>
        </w:rPr>
      </w:pPr>
      <w:r w:rsidRPr="00406EB5">
        <w:rPr>
          <w:rFonts w:ascii="Arial" w:hAnsi="Arial" w:cs="Arial"/>
          <w:sz w:val="20"/>
        </w:rPr>
        <w:t>LG Berlin, Beschluss vom 01. Oktober 2019, Az.</w:t>
      </w:r>
      <w:r w:rsidR="00915260">
        <w:rPr>
          <w:rFonts w:ascii="Arial" w:hAnsi="Arial" w:cs="Arial"/>
          <w:sz w:val="20"/>
        </w:rPr>
        <w:t xml:space="preserve"> 67 T 107/19</w:t>
      </w:r>
    </w:p>
    <w:p w:rsidR="00915260" w:rsidRDefault="00915260" w:rsidP="00406EB5">
      <w:pPr>
        <w:jc w:val="center"/>
        <w:rPr>
          <w:rFonts w:ascii="Arial" w:hAnsi="Arial" w:cs="Arial"/>
          <w:sz w:val="20"/>
        </w:rPr>
      </w:pPr>
    </w:p>
    <w:p w:rsidR="00406EB5" w:rsidRDefault="00915260" w:rsidP="00406EB5">
      <w:pPr>
        <w:jc w:val="both"/>
        <w:rPr>
          <w:rFonts w:ascii="Arial" w:hAnsi="Arial" w:cs="Arial"/>
          <w:sz w:val="20"/>
        </w:rPr>
      </w:pPr>
      <w:r w:rsidRPr="00915260">
        <w:rPr>
          <w:rFonts w:ascii="Arial" w:hAnsi="Arial" w:cs="Arial"/>
          <w:sz w:val="20"/>
        </w:rPr>
        <w:t xml:space="preserve">Wird der Mieter nicht im Rahmen einer Individualvereinbarung, sondern durch eine vom Vermieter gestellte Formularklausel zur Erbringung einer „Mietsicherheit“ verpflichtet, ohne dass die Klausel die Befugnis einer vermieterseitigen Verwertung während oder nach Beendigung des Mietverhältnisses näher regelt, ist der Kaution in Anwendung der </w:t>
      </w:r>
      <w:proofErr w:type="spellStart"/>
      <w:r w:rsidRPr="00915260">
        <w:rPr>
          <w:rFonts w:ascii="Arial" w:hAnsi="Arial" w:cs="Arial"/>
          <w:sz w:val="20"/>
        </w:rPr>
        <w:t>Unklarheitenregel</w:t>
      </w:r>
      <w:proofErr w:type="spellEnd"/>
      <w:r w:rsidRPr="00915260">
        <w:rPr>
          <w:rFonts w:ascii="Arial" w:hAnsi="Arial" w:cs="Arial"/>
          <w:sz w:val="20"/>
        </w:rPr>
        <w:t xml:space="preserve"> des </w:t>
      </w:r>
      <w:hyperlink r:id="rId10" w:tooltip="§ 305c BGB, Bundesnorm, Überraschende und mehrdeutige Klauseln, Bürgerliches Gesetzbuch, gültig ab 01.01.2002" w:history="1">
        <w:r w:rsidRPr="00915260">
          <w:rPr>
            <w:rStyle w:val="Hyperlink"/>
            <w:rFonts w:ascii="Arial" w:hAnsi="Arial" w:cs="Arial"/>
            <w:sz w:val="20"/>
          </w:rPr>
          <w:t>§ 305c Abs. 2 BGB</w:t>
        </w:r>
      </w:hyperlink>
      <w:r w:rsidRPr="00915260">
        <w:rPr>
          <w:rFonts w:ascii="Arial" w:hAnsi="Arial" w:cs="Arial"/>
          <w:sz w:val="20"/>
        </w:rPr>
        <w:t xml:space="preserve"> lediglich eine auf den Wortlaut der Sicherungsabrede beschränkte Funktion einer bloßen Sicherung des Vermieters vor einer möglichen Insolvenz des Mieters beizumessen, die ihm auch nach Beendigung des Mietverhältnisses ausschließlich für unstreitige oder rechtskräftig festgestellte Ansprüche das Recht zur Verwertung eröffnet</w:t>
      </w:r>
      <w:r>
        <w:rPr>
          <w:rFonts w:ascii="Arial" w:hAnsi="Arial" w:cs="Arial"/>
          <w:sz w:val="20"/>
        </w:rPr>
        <w:t>.</w:t>
      </w:r>
    </w:p>
    <w:p w:rsidR="00915260" w:rsidRDefault="00915260" w:rsidP="00406EB5">
      <w:pPr>
        <w:jc w:val="both"/>
        <w:rPr>
          <w:rFonts w:ascii="Arial" w:hAnsi="Arial" w:cs="Arial"/>
          <w:sz w:val="20"/>
        </w:rPr>
      </w:pPr>
    </w:p>
    <w:p w:rsidR="00915260" w:rsidRDefault="00915260" w:rsidP="00915260">
      <w:pPr>
        <w:jc w:val="center"/>
        <w:rPr>
          <w:rFonts w:ascii="Arial" w:hAnsi="Arial" w:cs="Arial"/>
          <w:b/>
          <w:sz w:val="20"/>
        </w:rPr>
      </w:pPr>
      <w:r w:rsidRPr="00915260">
        <w:rPr>
          <w:rFonts w:ascii="Arial" w:hAnsi="Arial" w:cs="Arial"/>
          <w:b/>
          <w:sz w:val="20"/>
        </w:rPr>
        <w:t>IX.</w:t>
      </w:r>
    </w:p>
    <w:p w:rsidR="00915260" w:rsidRPr="00915260" w:rsidRDefault="00915260" w:rsidP="00915260">
      <w:pPr>
        <w:jc w:val="center"/>
        <w:rPr>
          <w:rFonts w:ascii="Arial" w:hAnsi="Arial" w:cs="Arial"/>
          <w:b/>
          <w:sz w:val="20"/>
        </w:rPr>
      </w:pPr>
      <w:r w:rsidRPr="00915260">
        <w:rPr>
          <w:rFonts w:ascii="Arial" w:hAnsi="Arial" w:cs="Arial"/>
          <w:b/>
          <w:sz w:val="20"/>
        </w:rPr>
        <w:t>Gesamtschuldnerische Haftung innerhalb einer Partnergesellschaft</w:t>
      </w:r>
    </w:p>
    <w:p w:rsidR="00915260" w:rsidRDefault="00915260" w:rsidP="00915260">
      <w:pPr>
        <w:jc w:val="center"/>
        <w:rPr>
          <w:rFonts w:ascii="Arial" w:hAnsi="Arial" w:cs="Arial"/>
          <w:sz w:val="20"/>
        </w:rPr>
      </w:pPr>
      <w:r w:rsidRPr="00915260">
        <w:rPr>
          <w:rFonts w:ascii="Arial" w:hAnsi="Arial" w:cs="Arial"/>
          <w:sz w:val="20"/>
        </w:rPr>
        <w:t>BGH, Urteil vom 12. September 2019, Az. IX ZR 190/18</w:t>
      </w:r>
    </w:p>
    <w:p w:rsidR="00915260" w:rsidRDefault="00915260" w:rsidP="00915260">
      <w:pPr>
        <w:jc w:val="both"/>
        <w:rPr>
          <w:rFonts w:ascii="Arial" w:hAnsi="Arial" w:cs="Arial"/>
          <w:sz w:val="20"/>
        </w:rPr>
      </w:pPr>
    </w:p>
    <w:p w:rsidR="00915260" w:rsidRDefault="00915260" w:rsidP="00915260">
      <w:pPr>
        <w:jc w:val="both"/>
        <w:rPr>
          <w:rFonts w:ascii="Arial" w:hAnsi="Arial" w:cs="Arial"/>
          <w:sz w:val="20"/>
        </w:rPr>
      </w:pPr>
      <w:r w:rsidRPr="00915260">
        <w:rPr>
          <w:rFonts w:ascii="Arial" w:hAnsi="Arial" w:cs="Arial"/>
          <w:sz w:val="20"/>
        </w:rPr>
        <w:t xml:space="preserve">War ein Partner mit der Bearbeitung eines Auftrags befasst, endet seine Mithaftung nicht mit der Abgabe des Mandats innerhalb der Partnerschaftsgesellschaft. </w:t>
      </w:r>
      <w:bookmarkStart w:id="6" w:name="_retrdlink_10"/>
      <w:r w:rsidRPr="00915260">
        <w:rPr>
          <w:rFonts w:ascii="Arial" w:hAnsi="Arial" w:cs="Arial"/>
          <w:sz w:val="20"/>
        </w:rPr>
        <w:t>(Rn.10)</w:t>
      </w:r>
      <w:bookmarkEnd w:id="6"/>
    </w:p>
    <w:p w:rsidR="00915260" w:rsidRDefault="00915260" w:rsidP="00915260">
      <w:pPr>
        <w:jc w:val="both"/>
        <w:rPr>
          <w:rFonts w:ascii="Arial" w:hAnsi="Arial" w:cs="Arial"/>
          <w:sz w:val="20"/>
        </w:rPr>
      </w:pPr>
    </w:p>
    <w:p w:rsidR="00915260" w:rsidRDefault="00915260" w:rsidP="00915260">
      <w:pPr>
        <w:jc w:val="center"/>
        <w:rPr>
          <w:rFonts w:ascii="Arial" w:hAnsi="Arial" w:cs="Arial"/>
          <w:b/>
          <w:sz w:val="20"/>
        </w:rPr>
      </w:pPr>
      <w:r w:rsidRPr="00915260">
        <w:rPr>
          <w:rFonts w:ascii="Arial" w:hAnsi="Arial" w:cs="Arial"/>
          <w:b/>
          <w:sz w:val="20"/>
        </w:rPr>
        <w:t>X.</w:t>
      </w:r>
    </w:p>
    <w:p w:rsidR="00915260" w:rsidRPr="00915260" w:rsidRDefault="00915260" w:rsidP="00915260">
      <w:pPr>
        <w:jc w:val="center"/>
        <w:rPr>
          <w:rFonts w:ascii="Arial" w:hAnsi="Arial" w:cs="Arial"/>
          <w:b/>
          <w:sz w:val="20"/>
        </w:rPr>
      </w:pPr>
      <w:r w:rsidRPr="00915260">
        <w:rPr>
          <w:rFonts w:ascii="Arial" w:hAnsi="Arial" w:cs="Arial"/>
          <w:b/>
          <w:sz w:val="20"/>
        </w:rPr>
        <w:t>Steuerliche Berücksichtigung des Forderungsverzichts eines Gesellschafters einer Kapitalgesellschaft nach Einführung der Abgeltungsteuer</w:t>
      </w:r>
    </w:p>
    <w:p w:rsidR="00915260" w:rsidRDefault="00915260" w:rsidP="00915260">
      <w:pPr>
        <w:jc w:val="center"/>
        <w:rPr>
          <w:rFonts w:ascii="Arial" w:hAnsi="Arial" w:cs="Arial"/>
          <w:sz w:val="20"/>
        </w:rPr>
      </w:pPr>
      <w:r w:rsidRPr="00915260">
        <w:rPr>
          <w:rFonts w:ascii="Arial" w:hAnsi="Arial" w:cs="Arial"/>
          <w:sz w:val="20"/>
        </w:rPr>
        <w:t xml:space="preserve">BFH, Urteil vom 06. August 2019, Az. </w:t>
      </w:r>
      <w:r>
        <w:rPr>
          <w:rFonts w:ascii="Arial" w:hAnsi="Arial" w:cs="Arial"/>
          <w:sz w:val="20"/>
        </w:rPr>
        <w:t xml:space="preserve"> VIII R 18/16</w:t>
      </w:r>
    </w:p>
    <w:p w:rsidR="00915260" w:rsidRDefault="00915260" w:rsidP="00915260">
      <w:pPr>
        <w:jc w:val="both"/>
        <w:rPr>
          <w:rFonts w:ascii="Arial" w:hAnsi="Arial" w:cs="Arial"/>
          <w:sz w:val="20"/>
        </w:rPr>
      </w:pPr>
    </w:p>
    <w:p w:rsidR="00915260" w:rsidRPr="00915260" w:rsidRDefault="00915260" w:rsidP="00915260">
      <w:pPr>
        <w:jc w:val="both"/>
        <w:rPr>
          <w:rFonts w:ascii="Arial" w:hAnsi="Arial" w:cs="Arial"/>
          <w:sz w:val="20"/>
        </w:rPr>
      </w:pPr>
      <w:r w:rsidRPr="00915260">
        <w:rPr>
          <w:rFonts w:ascii="Arial" w:hAnsi="Arial" w:cs="Arial"/>
          <w:sz w:val="20"/>
        </w:rPr>
        <w:t xml:space="preserve">1. Ein durch das Gesellschaftsverhältnis veranlasster, unbedingter Verzicht eines Gesellschafters auf einen Teil der ihm gegen die Kapitalgesellschaft zustehenden Darlehensforderung führt zu einer Einlage i.S. des § 20 Abs. 2 Satz 2 EStG, soweit der Gesellschafter auf den werthaltigen Teil der Forderung verzichtet (Anschluss an Beschluss des Großen Senats des BFH vom 09.06.1997 - </w:t>
      </w:r>
      <w:proofErr w:type="spellStart"/>
      <w:r w:rsidRPr="00915260">
        <w:rPr>
          <w:rFonts w:ascii="Arial" w:hAnsi="Arial" w:cs="Arial"/>
          <w:sz w:val="20"/>
        </w:rPr>
        <w:t>GrS</w:t>
      </w:r>
      <w:proofErr w:type="spellEnd"/>
      <w:r w:rsidRPr="00915260">
        <w:rPr>
          <w:rFonts w:ascii="Arial" w:hAnsi="Arial" w:cs="Arial"/>
          <w:sz w:val="20"/>
        </w:rPr>
        <w:t xml:space="preserve"> 1/94, BFHE</w:t>
      </w:r>
      <w:r w:rsidRPr="00915260">
        <w:rPr>
          <w:rFonts w:ascii="Arial" w:hAnsi="Arial" w:cs="Arial"/>
          <w:sz w:val="20"/>
          <w:u w:val="single"/>
        </w:rPr>
        <w:t xml:space="preserve"> </w:t>
      </w:r>
      <w:r w:rsidRPr="00915260">
        <w:rPr>
          <w:rFonts w:ascii="Arial" w:hAnsi="Arial" w:cs="Arial"/>
          <w:sz w:val="20"/>
        </w:rPr>
        <w:t xml:space="preserve">183, 187, </w:t>
      </w:r>
      <w:proofErr w:type="spellStart"/>
      <w:r w:rsidRPr="00915260">
        <w:rPr>
          <w:rFonts w:ascii="Arial" w:hAnsi="Arial" w:cs="Arial"/>
          <w:sz w:val="20"/>
        </w:rPr>
        <w:t>BStBl</w:t>
      </w:r>
      <w:proofErr w:type="spellEnd"/>
      <w:r w:rsidRPr="00915260">
        <w:rPr>
          <w:rFonts w:ascii="Arial" w:hAnsi="Arial" w:cs="Arial"/>
          <w:sz w:val="20"/>
        </w:rPr>
        <w:t xml:space="preserve"> II 1998, 307, unter C.II.4.). Dies setzt voraus, dass der Verzichtsbetrag den Nennwert des nicht werthaltigen Teils der Forderung übersteigt. Stehen dem durch die Einlage bewirkten Zufluss Anschaffungskosten in gleicher Höhe gegenüber, fällt kein Gewinn i.S. des § 20 Abs. 4 EStG an </w:t>
      </w:r>
      <w:bookmarkStart w:id="7" w:name="_retrdlink_16"/>
      <w:r w:rsidRPr="00915260">
        <w:rPr>
          <w:rFonts w:ascii="Arial" w:hAnsi="Arial" w:cs="Arial"/>
          <w:sz w:val="20"/>
        </w:rPr>
        <w:t>(Rn.16)</w:t>
      </w:r>
      <w:bookmarkEnd w:id="7"/>
      <w:r w:rsidRPr="00915260">
        <w:rPr>
          <w:rFonts w:ascii="Arial" w:hAnsi="Arial" w:cs="Arial"/>
          <w:sz w:val="20"/>
        </w:rPr>
        <w:t>.</w:t>
      </w:r>
    </w:p>
    <w:p w:rsidR="00915260" w:rsidRPr="00915260" w:rsidRDefault="00915260" w:rsidP="00915260">
      <w:pPr>
        <w:jc w:val="both"/>
        <w:rPr>
          <w:rFonts w:ascii="Arial" w:hAnsi="Arial" w:cs="Arial"/>
          <w:sz w:val="20"/>
        </w:rPr>
      </w:pPr>
      <w:r w:rsidRPr="00915260">
        <w:rPr>
          <w:rFonts w:ascii="Arial" w:hAnsi="Arial" w:cs="Arial"/>
          <w:sz w:val="20"/>
        </w:rPr>
        <w:t xml:space="preserve">2. Der Verzicht des Gesellschafters auf den nicht werthaltigen Teil seiner Forderung gegen die Kapitalgesellschaft steht einer Abtretung gleich und führt nach Einführung der Abgeltungsteuer zu einem gemäß § 20 Abs. 2 Satz 2 EStG steuerlich zu berücksichtigenden Forderungsausfall. Steuerliche Auswirkungen hat der Forderungsverzicht jedoch nur, wenn der Steuerpflichtige für den nicht werthaltigen Teil der Forderung Anschaffungskosten getragen hat </w:t>
      </w:r>
      <w:bookmarkStart w:id="8" w:name="_retrdlink_19"/>
      <w:r w:rsidRPr="00915260">
        <w:rPr>
          <w:rFonts w:ascii="Arial" w:hAnsi="Arial" w:cs="Arial"/>
          <w:sz w:val="20"/>
        </w:rPr>
        <w:t xml:space="preserve">(Rn.19) </w:t>
      </w:r>
      <w:bookmarkStart w:id="9" w:name="_retrdlink_21"/>
      <w:r w:rsidRPr="00915260">
        <w:rPr>
          <w:rFonts w:ascii="Arial" w:hAnsi="Arial" w:cs="Arial"/>
          <w:sz w:val="20"/>
        </w:rPr>
        <w:t>(Rn.21)</w:t>
      </w:r>
      <w:bookmarkStart w:id="10" w:name="_retrdlink_23"/>
      <w:bookmarkEnd w:id="9"/>
      <w:r w:rsidRPr="00915260">
        <w:rPr>
          <w:rFonts w:ascii="Arial" w:hAnsi="Arial" w:cs="Arial"/>
          <w:sz w:val="20"/>
        </w:rPr>
        <w:t>(Rn.23)</w:t>
      </w:r>
      <w:bookmarkEnd w:id="10"/>
      <w:r w:rsidRPr="00915260">
        <w:rPr>
          <w:rFonts w:ascii="Arial" w:hAnsi="Arial" w:cs="Arial"/>
          <w:sz w:val="20"/>
        </w:rPr>
        <w:t>.</w:t>
      </w:r>
    </w:p>
    <w:p w:rsidR="00915260" w:rsidRPr="00915260" w:rsidRDefault="00915260" w:rsidP="00915260">
      <w:pPr>
        <w:jc w:val="both"/>
        <w:rPr>
          <w:rFonts w:ascii="Arial" w:hAnsi="Arial" w:cs="Arial"/>
          <w:sz w:val="20"/>
        </w:rPr>
      </w:pPr>
      <w:r w:rsidRPr="00915260">
        <w:rPr>
          <w:rFonts w:ascii="Arial" w:hAnsi="Arial" w:cs="Arial"/>
          <w:sz w:val="20"/>
        </w:rPr>
        <w:t>Orientierungssatz</w:t>
      </w:r>
    </w:p>
    <w:p w:rsidR="00915260" w:rsidRPr="00915260" w:rsidRDefault="00915260" w:rsidP="00915260">
      <w:pPr>
        <w:jc w:val="both"/>
        <w:rPr>
          <w:rFonts w:ascii="Arial" w:hAnsi="Arial" w:cs="Arial"/>
          <w:sz w:val="20"/>
        </w:rPr>
      </w:pPr>
      <w:r w:rsidRPr="00915260">
        <w:rPr>
          <w:rFonts w:ascii="Arial" w:hAnsi="Arial" w:cs="Arial"/>
          <w:sz w:val="20"/>
        </w:rPr>
        <w:t xml:space="preserve">1. Zu Leitsatz 2: Der anderslautenden Auffassung in </w:t>
      </w:r>
      <w:proofErr w:type="spellStart"/>
      <w:r w:rsidRPr="00915260">
        <w:rPr>
          <w:rFonts w:ascii="Arial" w:hAnsi="Arial" w:cs="Arial"/>
          <w:sz w:val="20"/>
        </w:rPr>
        <w:t>Rz</w:t>
      </w:r>
      <w:proofErr w:type="spellEnd"/>
      <w:r w:rsidRPr="00915260">
        <w:rPr>
          <w:rFonts w:ascii="Arial" w:hAnsi="Arial" w:cs="Arial"/>
          <w:sz w:val="20"/>
        </w:rPr>
        <w:t>. 61 des BMF-Schreibens vom 18.01.2016 IV C 1-S 2252/08/10004:017, 2015/0468306 (</w:t>
      </w:r>
      <w:proofErr w:type="spellStart"/>
      <w:r w:rsidRPr="00915260">
        <w:rPr>
          <w:rFonts w:ascii="Arial" w:hAnsi="Arial" w:cs="Arial"/>
          <w:sz w:val="20"/>
        </w:rPr>
        <w:t>BStBl</w:t>
      </w:r>
      <w:proofErr w:type="spellEnd"/>
      <w:r w:rsidRPr="00915260">
        <w:rPr>
          <w:rFonts w:ascii="Arial" w:hAnsi="Arial" w:cs="Arial"/>
          <w:sz w:val="20"/>
        </w:rPr>
        <w:t xml:space="preserve"> I 2016, 85) ist nicht zu folgen (Rn.19)</w:t>
      </w:r>
      <w:bookmarkEnd w:id="8"/>
      <w:r w:rsidRPr="00915260">
        <w:rPr>
          <w:rFonts w:ascii="Arial" w:hAnsi="Arial" w:cs="Arial"/>
          <w:sz w:val="20"/>
        </w:rPr>
        <w:t>.</w:t>
      </w:r>
    </w:p>
    <w:p w:rsidR="00915260" w:rsidRDefault="00915260" w:rsidP="00915260">
      <w:pPr>
        <w:jc w:val="both"/>
        <w:rPr>
          <w:rFonts w:ascii="Arial" w:hAnsi="Arial" w:cs="Arial"/>
          <w:sz w:val="20"/>
        </w:rPr>
      </w:pPr>
      <w:r w:rsidRPr="00915260">
        <w:rPr>
          <w:rFonts w:ascii="Arial" w:hAnsi="Arial" w:cs="Arial"/>
          <w:sz w:val="20"/>
        </w:rPr>
        <w:t>2. Zu Leitsatz 2: Der Anerkennung eines entsprechenden Verlustes steht die Freiwilligkeit des Verzichts nicht entgegen (</w:t>
      </w:r>
      <w:proofErr w:type="spellStart"/>
      <w:r w:rsidRPr="00915260">
        <w:rPr>
          <w:rFonts w:ascii="Arial" w:hAnsi="Arial" w:cs="Arial"/>
          <w:sz w:val="20"/>
        </w:rPr>
        <w:t>a.A</w:t>
      </w:r>
      <w:proofErr w:type="spellEnd"/>
      <w:r w:rsidRPr="00915260">
        <w:rPr>
          <w:rFonts w:ascii="Arial" w:hAnsi="Arial" w:cs="Arial"/>
          <w:sz w:val="20"/>
        </w:rPr>
        <w:t xml:space="preserve">. FG Rheinland-Pfalz, Urteil vom 12.07.2016 3 K 1133/14) </w:t>
      </w:r>
      <w:bookmarkStart w:id="11" w:name="_retrdlink_22"/>
      <w:r w:rsidRPr="00915260">
        <w:rPr>
          <w:rFonts w:ascii="Arial" w:hAnsi="Arial" w:cs="Arial"/>
          <w:sz w:val="20"/>
        </w:rPr>
        <w:t>(Rn.22)</w:t>
      </w:r>
      <w:bookmarkEnd w:id="11"/>
      <w:r w:rsidRPr="00915260">
        <w:rPr>
          <w:rFonts w:ascii="Arial" w:hAnsi="Arial" w:cs="Arial"/>
          <w:sz w:val="20"/>
        </w:rPr>
        <w:t>.</w:t>
      </w:r>
    </w:p>
    <w:p w:rsidR="00915260" w:rsidRDefault="00915260" w:rsidP="00915260">
      <w:pPr>
        <w:jc w:val="both"/>
        <w:rPr>
          <w:rFonts w:ascii="Arial" w:hAnsi="Arial" w:cs="Arial"/>
          <w:sz w:val="20"/>
        </w:rPr>
      </w:pPr>
    </w:p>
    <w:p w:rsidR="00915260" w:rsidRDefault="00915260" w:rsidP="00915260">
      <w:pPr>
        <w:jc w:val="both"/>
        <w:rPr>
          <w:rFonts w:ascii="Arial" w:hAnsi="Arial" w:cs="Arial"/>
          <w:sz w:val="20"/>
        </w:rPr>
      </w:pPr>
    </w:p>
    <w:p w:rsidR="00915260" w:rsidRPr="00CF157E" w:rsidRDefault="00915260" w:rsidP="00915260">
      <w:pPr>
        <w:jc w:val="both"/>
        <w:rPr>
          <w:rFonts w:ascii="Arial" w:eastAsia="Times New Roman" w:hAnsi="Arial" w:cs="Arial"/>
          <w:sz w:val="20"/>
          <w:szCs w:val="20"/>
        </w:rPr>
      </w:pPr>
      <w:r w:rsidRPr="00CF157E">
        <w:rPr>
          <w:rFonts w:ascii="Arial" w:eastAsia="Times New Roman" w:hAnsi="Arial" w:cs="Arial"/>
          <w:sz w:val="20"/>
          <w:szCs w:val="20"/>
        </w:rPr>
        <w:t>Für Rückfragen stehe ich Ihnen gerne zur Verfügung.</w:t>
      </w:r>
    </w:p>
    <w:p w:rsidR="00915260" w:rsidRPr="00CF157E" w:rsidRDefault="00915260" w:rsidP="00915260">
      <w:pPr>
        <w:jc w:val="both"/>
        <w:rPr>
          <w:rFonts w:ascii="Arial" w:eastAsia="Times New Roman" w:hAnsi="Arial" w:cs="Arial"/>
          <w:sz w:val="20"/>
          <w:szCs w:val="20"/>
        </w:rPr>
      </w:pPr>
    </w:p>
    <w:p w:rsidR="00915260" w:rsidRPr="00CF157E" w:rsidRDefault="00915260" w:rsidP="00915260">
      <w:pPr>
        <w:jc w:val="both"/>
        <w:rPr>
          <w:rFonts w:ascii="Arial" w:eastAsia="Times New Roman" w:hAnsi="Arial" w:cs="Arial"/>
          <w:sz w:val="20"/>
          <w:szCs w:val="20"/>
        </w:rPr>
      </w:pPr>
    </w:p>
    <w:p w:rsidR="00915260" w:rsidRPr="00CF157E" w:rsidRDefault="00915260" w:rsidP="00915260">
      <w:pPr>
        <w:jc w:val="both"/>
        <w:rPr>
          <w:rFonts w:ascii="Arial" w:eastAsia="Times New Roman" w:hAnsi="Arial" w:cs="Arial"/>
          <w:sz w:val="20"/>
          <w:szCs w:val="20"/>
        </w:rPr>
      </w:pPr>
      <w:r w:rsidRPr="00CF157E">
        <w:rPr>
          <w:rFonts w:ascii="Arial" w:eastAsia="Times New Roman" w:hAnsi="Arial" w:cs="Arial"/>
          <w:sz w:val="20"/>
          <w:szCs w:val="20"/>
        </w:rPr>
        <w:t>Michael Henn</w:t>
      </w:r>
    </w:p>
    <w:p w:rsidR="00915260" w:rsidRPr="00CF157E" w:rsidRDefault="00915260" w:rsidP="00915260">
      <w:pPr>
        <w:jc w:val="both"/>
        <w:rPr>
          <w:rFonts w:ascii="Arial" w:eastAsia="Times New Roman" w:hAnsi="Arial" w:cs="Arial"/>
          <w:sz w:val="20"/>
          <w:szCs w:val="20"/>
        </w:rPr>
      </w:pPr>
      <w:r w:rsidRPr="00CF157E">
        <w:rPr>
          <w:rFonts w:ascii="Arial" w:eastAsia="Times New Roman" w:hAnsi="Arial" w:cs="Arial"/>
          <w:sz w:val="20"/>
          <w:szCs w:val="20"/>
        </w:rPr>
        <w:t>Rechtsanwalt</w:t>
      </w:r>
    </w:p>
    <w:p w:rsidR="00915260" w:rsidRPr="00CF157E" w:rsidRDefault="00915260" w:rsidP="00915260">
      <w:pPr>
        <w:jc w:val="both"/>
        <w:rPr>
          <w:rFonts w:ascii="Arial" w:eastAsia="Times New Roman" w:hAnsi="Arial" w:cs="Arial"/>
          <w:sz w:val="20"/>
          <w:szCs w:val="20"/>
        </w:rPr>
      </w:pPr>
      <w:r w:rsidRPr="00CF157E">
        <w:rPr>
          <w:rFonts w:ascii="Arial" w:eastAsia="Times New Roman" w:hAnsi="Arial" w:cs="Arial"/>
          <w:sz w:val="20"/>
          <w:szCs w:val="20"/>
        </w:rPr>
        <w:lastRenderedPageBreak/>
        <w:t>Fachanwalt für Erbrecht</w:t>
      </w:r>
    </w:p>
    <w:p w:rsidR="00915260" w:rsidRPr="00CF157E" w:rsidRDefault="00915260" w:rsidP="00915260">
      <w:pPr>
        <w:jc w:val="both"/>
        <w:rPr>
          <w:rFonts w:ascii="Arial" w:eastAsia="Times New Roman" w:hAnsi="Arial" w:cs="Arial"/>
          <w:sz w:val="20"/>
          <w:szCs w:val="20"/>
        </w:rPr>
      </w:pPr>
      <w:r w:rsidRPr="00CF157E">
        <w:rPr>
          <w:rFonts w:ascii="Arial" w:eastAsia="Times New Roman" w:hAnsi="Arial" w:cs="Arial"/>
          <w:sz w:val="20"/>
          <w:szCs w:val="20"/>
        </w:rPr>
        <w:t xml:space="preserve">Fachanwalt für Arbeitsrecht </w:t>
      </w:r>
    </w:p>
    <w:p w:rsidR="00915260" w:rsidRPr="00CF157E" w:rsidRDefault="00915260" w:rsidP="00915260">
      <w:pPr>
        <w:jc w:val="both"/>
        <w:rPr>
          <w:rFonts w:ascii="Arial" w:eastAsia="Times New Roman" w:hAnsi="Arial" w:cs="Arial"/>
          <w:sz w:val="20"/>
          <w:szCs w:val="20"/>
        </w:rPr>
      </w:pPr>
      <w:r w:rsidRPr="00CF157E">
        <w:rPr>
          <w:rFonts w:ascii="Arial" w:eastAsia="Times New Roman" w:hAnsi="Arial" w:cs="Arial"/>
          <w:sz w:val="20"/>
          <w:szCs w:val="20"/>
        </w:rPr>
        <w:t xml:space="preserve">Schriftleiter mittelstandsdepesche </w:t>
      </w:r>
    </w:p>
    <w:p w:rsidR="00915260" w:rsidRPr="00CF157E" w:rsidRDefault="00915260" w:rsidP="00915260">
      <w:pPr>
        <w:jc w:val="both"/>
        <w:rPr>
          <w:rFonts w:ascii="Arial" w:eastAsia="Times New Roman" w:hAnsi="Arial" w:cs="Arial"/>
          <w:sz w:val="20"/>
          <w:szCs w:val="20"/>
        </w:rPr>
      </w:pPr>
      <w:r w:rsidRPr="00CF157E">
        <w:rPr>
          <w:rFonts w:ascii="Arial" w:eastAsia="Times New Roman" w:hAnsi="Arial" w:cs="Arial"/>
          <w:sz w:val="20"/>
          <w:szCs w:val="20"/>
        </w:rPr>
        <w:t xml:space="preserve">Rechtsanwälte Dr. </w:t>
      </w:r>
      <w:proofErr w:type="spellStart"/>
      <w:r w:rsidRPr="00CF157E">
        <w:rPr>
          <w:rFonts w:ascii="Arial" w:eastAsia="Times New Roman" w:hAnsi="Arial" w:cs="Arial"/>
          <w:sz w:val="20"/>
          <w:szCs w:val="20"/>
        </w:rPr>
        <w:t>Gaupp</w:t>
      </w:r>
      <w:proofErr w:type="spellEnd"/>
      <w:r w:rsidRPr="00CF157E">
        <w:rPr>
          <w:rFonts w:ascii="Arial" w:eastAsia="Times New Roman" w:hAnsi="Arial" w:cs="Arial"/>
          <w:sz w:val="20"/>
          <w:szCs w:val="20"/>
        </w:rPr>
        <w:t xml:space="preserve"> &amp; </w:t>
      </w:r>
      <w:proofErr w:type="spellStart"/>
      <w:r w:rsidRPr="00CF157E">
        <w:rPr>
          <w:rFonts w:ascii="Arial" w:eastAsia="Times New Roman" w:hAnsi="Arial" w:cs="Arial"/>
          <w:sz w:val="20"/>
          <w:szCs w:val="20"/>
        </w:rPr>
        <w:t>Coll</w:t>
      </w:r>
      <w:proofErr w:type="spellEnd"/>
      <w:r w:rsidRPr="00CF157E">
        <w:rPr>
          <w:rFonts w:ascii="Arial" w:eastAsia="Times New Roman" w:hAnsi="Arial" w:cs="Arial"/>
          <w:sz w:val="20"/>
          <w:szCs w:val="20"/>
        </w:rPr>
        <w:t>.</w:t>
      </w:r>
    </w:p>
    <w:p w:rsidR="00915260" w:rsidRPr="00CF157E" w:rsidRDefault="00915260" w:rsidP="00915260">
      <w:pPr>
        <w:jc w:val="both"/>
        <w:rPr>
          <w:rFonts w:ascii="Arial" w:eastAsia="Times New Roman" w:hAnsi="Arial" w:cs="Arial"/>
          <w:sz w:val="20"/>
          <w:szCs w:val="20"/>
        </w:rPr>
      </w:pPr>
      <w:r w:rsidRPr="00CF157E">
        <w:rPr>
          <w:rFonts w:ascii="Arial" w:eastAsia="Times New Roman" w:hAnsi="Arial" w:cs="Arial"/>
          <w:sz w:val="20"/>
          <w:szCs w:val="20"/>
        </w:rPr>
        <w:t xml:space="preserve">Kronprinzstr. 14 </w:t>
      </w:r>
    </w:p>
    <w:p w:rsidR="00915260" w:rsidRPr="00CF157E" w:rsidRDefault="00915260" w:rsidP="00915260">
      <w:pPr>
        <w:jc w:val="both"/>
        <w:rPr>
          <w:rFonts w:ascii="Arial" w:eastAsia="Times New Roman" w:hAnsi="Arial" w:cs="Arial"/>
          <w:sz w:val="20"/>
          <w:szCs w:val="20"/>
        </w:rPr>
      </w:pPr>
      <w:r w:rsidRPr="00CF157E">
        <w:rPr>
          <w:rFonts w:ascii="Arial" w:eastAsia="Times New Roman" w:hAnsi="Arial" w:cs="Arial"/>
          <w:sz w:val="20"/>
          <w:szCs w:val="20"/>
        </w:rPr>
        <w:t>70173 Stuttgart</w:t>
      </w:r>
    </w:p>
    <w:p w:rsidR="00915260" w:rsidRPr="00CF157E" w:rsidRDefault="00915260" w:rsidP="00915260">
      <w:pPr>
        <w:jc w:val="both"/>
        <w:rPr>
          <w:rFonts w:ascii="Arial" w:eastAsia="Times New Roman" w:hAnsi="Arial" w:cs="Arial"/>
          <w:sz w:val="20"/>
          <w:szCs w:val="20"/>
        </w:rPr>
      </w:pPr>
      <w:r w:rsidRPr="00CF157E">
        <w:rPr>
          <w:rFonts w:ascii="Arial" w:eastAsia="Times New Roman" w:hAnsi="Arial" w:cs="Arial"/>
          <w:sz w:val="20"/>
          <w:szCs w:val="20"/>
        </w:rPr>
        <w:t>Tel.: 0711/ 30 58 93-0</w:t>
      </w:r>
      <w:r w:rsidRPr="00CF157E">
        <w:rPr>
          <w:rFonts w:ascii="Arial" w:eastAsia="Times New Roman" w:hAnsi="Arial" w:cs="Arial"/>
          <w:sz w:val="20"/>
          <w:szCs w:val="20"/>
        </w:rPr>
        <w:tab/>
      </w:r>
      <w:r w:rsidRPr="00CF157E">
        <w:rPr>
          <w:rFonts w:ascii="Arial" w:eastAsia="Times New Roman" w:hAnsi="Arial" w:cs="Arial"/>
          <w:sz w:val="20"/>
          <w:szCs w:val="20"/>
        </w:rPr>
        <w:tab/>
        <w:t>Fax: 0711/ 30 58 93-11</w:t>
      </w:r>
    </w:p>
    <w:p w:rsidR="00915260" w:rsidRPr="00CF157E" w:rsidRDefault="00915260" w:rsidP="00915260">
      <w:pPr>
        <w:jc w:val="both"/>
        <w:rPr>
          <w:rFonts w:ascii="Arial" w:eastAsia="Times New Roman" w:hAnsi="Arial" w:cs="Arial"/>
          <w:sz w:val="20"/>
          <w:szCs w:val="20"/>
        </w:rPr>
      </w:pPr>
      <w:r w:rsidRPr="00CF157E">
        <w:rPr>
          <w:rFonts w:ascii="Arial" w:eastAsia="Times New Roman" w:hAnsi="Arial" w:cs="Arial"/>
          <w:sz w:val="20"/>
          <w:szCs w:val="20"/>
        </w:rPr>
        <w:t xml:space="preserve">E-Mail: </w:t>
      </w:r>
      <w:hyperlink r:id="rId11" w:history="1">
        <w:r w:rsidRPr="00CF157E">
          <w:rPr>
            <w:rFonts w:ascii="Arial" w:eastAsia="Times New Roman" w:hAnsi="Arial" w:cs="Arial"/>
            <w:color w:val="0000FF"/>
            <w:sz w:val="20"/>
            <w:szCs w:val="20"/>
            <w:u w:val="single"/>
          </w:rPr>
          <w:t>henn@drgaupp.de</w:t>
        </w:r>
      </w:hyperlink>
      <w:r w:rsidRPr="00CF157E">
        <w:rPr>
          <w:rFonts w:ascii="Arial" w:eastAsia="Times New Roman" w:hAnsi="Arial" w:cs="Arial"/>
          <w:sz w:val="20"/>
          <w:szCs w:val="20"/>
        </w:rPr>
        <w:tab/>
      </w:r>
      <w:hyperlink r:id="rId12" w:history="1">
        <w:r w:rsidRPr="00CF157E">
          <w:rPr>
            <w:rFonts w:ascii="Arial" w:eastAsia="Times New Roman" w:hAnsi="Arial" w:cs="Arial"/>
            <w:color w:val="0000FF"/>
            <w:sz w:val="20"/>
            <w:szCs w:val="20"/>
            <w:u w:val="single"/>
          </w:rPr>
          <w:t>www.drgaupp.de</w:t>
        </w:r>
      </w:hyperlink>
    </w:p>
    <w:p w:rsidR="00915260" w:rsidRPr="00CF157E" w:rsidRDefault="00915260" w:rsidP="00915260">
      <w:pPr>
        <w:jc w:val="both"/>
        <w:rPr>
          <w:rFonts w:ascii="Arial" w:hAnsi="Arial" w:cs="Arial"/>
          <w:sz w:val="20"/>
          <w:szCs w:val="20"/>
          <w:lang w:eastAsia="en-US"/>
        </w:rPr>
      </w:pPr>
    </w:p>
    <w:sectPr w:rsidR="00915260" w:rsidRPr="00CF157E">
      <w:head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7B09" w:rsidRDefault="00927B09" w:rsidP="00927B09">
      <w:r>
        <w:separator/>
      </w:r>
    </w:p>
  </w:endnote>
  <w:endnote w:type="continuationSeparator" w:id="0">
    <w:p w:rsidR="00927B09" w:rsidRDefault="00927B09" w:rsidP="00927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7B09" w:rsidRDefault="00927B09" w:rsidP="00927B09">
      <w:r>
        <w:separator/>
      </w:r>
    </w:p>
  </w:footnote>
  <w:footnote w:type="continuationSeparator" w:id="0">
    <w:p w:rsidR="00927B09" w:rsidRDefault="00927B09" w:rsidP="00927B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7B09" w:rsidRPr="00927B09" w:rsidRDefault="00927B09" w:rsidP="00927B09">
    <w:pPr>
      <w:tabs>
        <w:tab w:val="center" w:pos="4819"/>
        <w:tab w:val="right" w:pos="9071"/>
      </w:tabs>
      <w:jc w:val="center"/>
      <w:rPr>
        <w:rFonts w:ascii="Arial" w:eastAsia="Times New Roman" w:hAnsi="Arial" w:cs="Arial"/>
        <w:szCs w:val="20"/>
      </w:rPr>
    </w:pPr>
    <w:r w:rsidRPr="00927B09">
      <w:rPr>
        <w:rFonts w:ascii="Arial" w:eastAsia="Times New Roman" w:hAnsi="Arial" w:cs="Arial"/>
        <w:b/>
        <w:bCs/>
        <w:sz w:val="28"/>
        <w:szCs w:val="28"/>
      </w:rPr>
      <w:t>mittelstandsdepesche 11-2019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30EBA"/>
    <w:multiLevelType w:val="hybridMultilevel"/>
    <w:tmpl w:val="B6C8AEDE"/>
    <w:lvl w:ilvl="0" w:tplc="B3AEBF60">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4AF4AA4"/>
    <w:multiLevelType w:val="multilevel"/>
    <w:tmpl w:val="9A90E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A48D5"/>
    <w:multiLevelType w:val="multilevel"/>
    <w:tmpl w:val="BEC08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644CB5"/>
    <w:multiLevelType w:val="multilevel"/>
    <w:tmpl w:val="F84AF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EA7BF4"/>
    <w:multiLevelType w:val="hybridMultilevel"/>
    <w:tmpl w:val="443C194A"/>
    <w:lvl w:ilvl="0" w:tplc="34C4C8A6">
      <w:start w:val="1"/>
      <w:numFmt w:val="lowerLetter"/>
      <w:lvlText w:val="%1)"/>
      <w:lvlJc w:val="left"/>
      <w:pPr>
        <w:ind w:left="360" w:hanging="360"/>
      </w:pPr>
      <w:rPr>
        <w:rFonts w:ascii="Arial" w:hAnsi="Arial" w:cs="Arial" w:hint="default"/>
        <w:sz w:val="21"/>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17C5241F"/>
    <w:multiLevelType w:val="multilevel"/>
    <w:tmpl w:val="FB463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865DD8"/>
    <w:multiLevelType w:val="multilevel"/>
    <w:tmpl w:val="C9C67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811A00"/>
    <w:multiLevelType w:val="multilevel"/>
    <w:tmpl w:val="69147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9F13B5"/>
    <w:multiLevelType w:val="multilevel"/>
    <w:tmpl w:val="55E00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D539CD"/>
    <w:multiLevelType w:val="multilevel"/>
    <w:tmpl w:val="3E885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897725"/>
    <w:multiLevelType w:val="multilevel"/>
    <w:tmpl w:val="2BDE4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CB3F37"/>
    <w:multiLevelType w:val="multilevel"/>
    <w:tmpl w:val="BF964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58037B"/>
    <w:multiLevelType w:val="hybridMultilevel"/>
    <w:tmpl w:val="168EC916"/>
    <w:lvl w:ilvl="0" w:tplc="577C98B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7"/>
  </w:num>
  <w:num w:numId="3">
    <w:abstractNumId w:val="5"/>
  </w:num>
  <w:num w:numId="4">
    <w:abstractNumId w:val="1"/>
  </w:num>
  <w:num w:numId="5">
    <w:abstractNumId w:val="3"/>
  </w:num>
  <w:num w:numId="6">
    <w:abstractNumId w:val="8"/>
  </w:num>
  <w:num w:numId="7">
    <w:abstractNumId w:val="2"/>
  </w:num>
  <w:num w:numId="8">
    <w:abstractNumId w:val="11"/>
  </w:num>
  <w:num w:numId="9">
    <w:abstractNumId w:val="6"/>
  </w:num>
  <w:num w:numId="10">
    <w:abstractNumId w:val="10"/>
  </w:num>
  <w:num w:numId="11">
    <w:abstractNumId w:val="9"/>
  </w:num>
  <w:num w:numId="12">
    <w:abstractNumId w:val="1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827"/>
    <w:rsid w:val="000C2827"/>
    <w:rsid w:val="00305BC3"/>
    <w:rsid w:val="00406EB5"/>
    <w:rsid w:val="00741CE8"/>
    <w:rsid w:val="00915260"/>
    <w:rsid w:val="00927B09"/>
    <w:rsid w:val="00B90504"/>
    <w:rsid w:val="00D97963"/>
    <w:rsid w:val="00DE2F90"/>
    <w:rsid w:val="00E85ED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C94196-F0A8-45B6-9E77-2A2A81AB3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C2827"/>
    <w:pPr>
      <w:spacing w:after="0" w:line="240" w:lineRule="auto"/>
    </w:pPr>
    <w:rPr>
      <w:rFonts w:ascii="Times New Roman" w:hAnsi="Times New Roman" w:cs="Times New Roman"/>
      <w:sz w:val="24"/>
      <w:szCs w:val="24"/>
      <w:lang w:eastAsia="de-DE"/>
    </w:rPr>
  </w:style>
  <w:style w:type="paragraph" w:styleId="berschrift2">
    <w:name w:val="heading 2"/>
    <w:basedOn w:val="Standard"/>
    <w:next w:val="Standard"/>
    <w:link w:val="berschrift2Zchn"/>
    <w:uiPriority w:val="9"/>
    <w:semiHidden/>
    <w:unhideWhenUsed/>
    <w:qFormat/>
    <w:rsid w:val="00E85ED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link w:val="berschrift3Zchn"/>
    <w:uiPriority w:val="9"/>
    <w:semiHidden/>
    <w:unhideWhenUsed/>
    <w:qFormat/>
    <w:rsid w:val="000C2827"/>
    <w:pPr>
      <w:spacing w:after="75" w:line="240" w:lineRule="atLeast"/>
      <w:outlineLvl w:val="2"/>
    </w:pPr>
    <w:rPr>
      <w:b/>
      <w:bCs/>
    </w:rPr>
  </w:style>
  <w:style w:type="paragraph" w:styleId="berschrift4">
    <w:name w:val="heading 4"/>
    <w:basedOn w:val="Standard"/>
    <w:link w:val="berschrift4Zchn"/>
    <w:uiPriority w:val="9"/>
    <w:semiHidden/>
    <w:unhideWhenUsed/>
    <w:qFormat/>
    <w:rsid w:val="000C2827"/>
    <w:pPr>
      <w:spacing w:after="150"/>
      <w:outlineLvl w:val="3"/>
    </w:pPr>
    <w:rPr>
      <w:color w:val="666666"/>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semiHidden/>
    <w:rsid w:val="000C2827"/>
    <w:rPr>
      <w:rFonts w:ascii="Times New Roman" w:hAnsi="Times New Roman" w:cs="Times New Roman"/>
      <w:b/>
      <w:bCs/>
      <w:sz w:val="24"/>
      <w:szCs w:val="24"/>
      <w:lang w:eastAsia="de-DE"/>
    </w:rPr>
  </w:style>
  <w:style w:type="character" w:customStyle="1" w:styleId="berschrift4Zchn">
    <w:name w:val="Überschrift 4 Zchn"/>
    <w:basedOn w:val="Absatz-Standardschriftart"/>
    <w:link w:val="berschrift4"/>
    <w:uiPriority w:val="9"/>
    <w:semiHidden/>
    <w:rsid w:val="000C2827"/>
    <w:rPr>
      <w:rFonts w:ascii="Times New Roman" w:hAnsi="Times New Roman" w:cs="Times New Roman"/>
      <w:color w:val="666666"/>
      <w:sz w:val="21"/>
      <w:szCs w:val="21"/>
      <w:lang w:eastAsia="de-DE"/>
    </w:rPr>
  </w:style>
  <w:style w:type="paragraph" w:styleId="Listenabsatz">
    <w:name w:val="List Paragraph"/>
    <w:basedOn w:val="Standard"/>
    <w:uiPriority w:val="34"/>
    <w:qFormat/>
    <w:rsid w:val="00E85ED0"/>
    <w:pPr>
      <w:ind w:left="720"/>
      <w:contextualSpacing/>
    </w:pPr>
  </w:style>
  <w:style w:type="character" w:customStyle="1" w:styleId="berschrift2Zchn">
    <w:name w:val="Überschrift 2 Zchn"/>
    <w:basedOn w:val="Absatz-Standardschriftart"/>
    <w:link w:val="berschrift2"/>
    <w:uiPriority w:val="9"/>
    <w:semiHidden/>
    <w:rsid w:val="00E85ED0"/>
    <w:rPr>
      <w:rFonts w:asciiTheme="majorHAnsi" w:eastAsiaTheme="majorEastAsia" w:hAnsiTheme="majorHAnsi" w:cstheme="majorBidi"/>
      <w:color w:val="2E74B5" w:themeColor="accent1" w:themeShade="BF"/>
      <w:sz w:val="26"/>
      <w:szCs w:val="26"/>
      <w:lang w:eastAsia="de-DE"/>
    </w:rPr>
  </w:style>
  <w:style w:type="character" w:styleId="Fett">
    <w:name w:val="Strong"/>
    <w:basedOn w:val="Absatz-Standardschriftart"/>
    <w:uiPriority w:val="22"/>
    <w:qFormat/>
    <w:rsid w:val="00E85ED0"/>
    <w:rPr>
      <w:b/>
      <w:bCs/>
    </w:rPr>
  </w:style>
  <w:style w:type="character" w:styleId="Hyperlink">
    <w:name w:val="Hyperlink"/>
    <w:basedOn w:val="Absatz-Standardschriftart"/>
    <w:uiPriority w:val="99"/>
    <w:unhideWhenUsed/>
    <w:rsid w:val="00E85ED0"/>
    <w:rPr>
      <w:color w:val="0000FF"/>
      <w:u w:val="single"/>
    </w:rPr>
  </w:style>
  <w:style w:type="character" w:customStyle="1" w:styleId="doclink">
    <w:name w:val="doclink"/>
    <w:basedOn w:val="Absatz-Standardschriftart"/>
    <w:rsid w:val="00E85ED0"/>
  </w:style>
  <w:style w:type="paragraph" w:styleId="StandardWeb">
    <w:name w:val="Normal (Web)"/>
    <w:basedOn w:val="Standard"/>
    <w:uiPriority w:val="99"/>
    <w:semiHidden/>
    <w:unhideWhenUsed/>
    <w:rsid w:val="00E85ED0"/>
    <w:pPr>
      <w:spacing w:before="100" w:beforeAutospacing="1" w:after="100" w:afterAutospacing="1"/>
    </w:pPr>
    <w:rPr>
      <w:rFonts w:eastAsia="Times New Roman"/>
    </w:rPr>
  </w:style>
  <w:style w:type="paragraph" w:styleId="Kopfzeile">
    <w:name w:val="header"/>
    <w:basedOn w:val="Standard"/>
    <w:link w:val="KopfzeileZchn"/>
    <w:uiPriority w:val="99"/>
    <w:unhideWhenUsed/>
    <w:rsid w:val="00927B09"/>
    <w:pPr>
      <w:tabs>
        <w:tab w:val="center" w:pos="4536"/>
        <w:tab w:val="right" w:pos="9072"/>
      </w:tabs>
    </w:pPr>
  </w:style>
  <w:style w:type="character" w:customStyle="1" w:styleId="KopfzeileZchn">
    <w:name w:val="Kopfzeile Zchn"/>
    <w:basedOn w:val="Absatz-Standardschriftart"/>
    <w:link w:val="Kopfzeile"/>
    <w:uiPriority w:val="99"/>
    <w:rsid w:val="00927B09"/>
    <w:rPr>
      <w:rFonts w:ascii="Times New Roman" w:hAnsi="Times New Roman" w:cs="Times New Roman"/>
      <w:sz w:val="24"/>
      <w:szCs w:val="24"/>
      <w:lang w:eastAsia="de-DE"/>
    </w:rPr>
  </w:style>
  <w:style w:type="paragraph" w:styleId="Fuzeile">
    <w:name w:val="footer"/>
    <w:basedOn w:val="Standard"/>
    <w:link w:val="FuzeileZchn"/>
    <w:uiPriority w:val="99"/>
    <w:unhideWhenUsed/>
    <w:rsid w:val="00927B09"/>
    <w:pPr>
      <w:tabs>
        <w:tab w:val="center" w:pos="4536"/>
        <w:tab w:val="right" w:pos="9072"/>
      </w:tabs>
    </w:pPr>
  </w:style>
  <w:style w:type="character" w:customStyle="1" w:styleId="FuzeileZchn">
    <w:name w:val="Fußzeile Zchn"/>
    <w:basedOn w:val="Absatz-Standardschriftart"/>
    <w:link w:val="Fuzeile"/>
    <w:uiPriority w:val="99"/>
    <w:rsid w:val="00927B09"/>
    <w:rPr>
      <w:rFonts w:ascii="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046018">
      <w:bodyDiv w:val="1"/>
      <w:marLeft w:val="0"/>
      <w:marRight w:val="0"/>
      <w:marTop w:val="0"/>
      <w:marBottom w:val="0"/>
      <w:divBdr>
        <w:top w:val="none" w:sz="0" w:space="0" w:color="auto"/>
        <w:left w:val="none" w:sz="0" w:space="0" w:color="auto"/>
        <w:bottom w:val="none" w:sz="0" w:space="0" w:color="auto"/>
        <w:right w:val="none" w:sz="0" w:space="0" w:color="auto"/>
      </w:divBdr>
      <w:divsChild>
        <w:div w:id="1693413905">
          <w:marLeft w:val="0"/>
          <w:marRight w:val="0"/>
          <w:marTop w:val="0"/>
          <w:marBottom w:val="0"/>
          <w:divBdr>
            <w:top w:val="none" w:sz="0" w:space="0" w:color="auto"/>
            <w:left w:val="none" w:sz="0" w:space="0" w:color="auto"/>
            <w:bottom w:val="none" w:sz="0" w:space="0" w:color="auto"/>
            <w:right w:val="none" w:sz="0" w:space="0" w:color="auto"/>
          </w:divBdr>
          <w:divsChild>
            <w:div w:id="778599605">
              <w:marLeft w:val="0"/>
              <w:marRight w:val="0"/>
              <w:marTop w:val="0"/>
              <w:marBottom w:val="0"/>
              <w:divBdr>
                <w:top w:val="none" w:sz="0" w:space="0" w:color="auto"/>
                <w:left w:val="none" w:sz="0" w:space="0" w:color="auto"/>
                <w:bottom w:val="none" w:sz="0" w:space="0" w:color="auto"/>
                <w:right w:val="none" w:sz="0" w:space="0" w:color="auto"/>
              </w:divBdr>
              <w:divsChild>
                <w:div w:id="2036419370">
                  <w:marLeft w:val="0"/>
                  <w:marRight w:val="0"/>
                  <w:marTop w:val="0"/>
                  <w:marBottom w:val="0"/>
                  <w:divBdr>
                    <w:top w:val="none" w:sz="0" w:space="0" w:color="auto"/>
                    <w:left w:val="none" w:sz="0" w:space="0" w:color="auto"/>
                    <w:bottom w:val="none" w:sz="0" w:space="0" w:color="auto"/>
                    <w:right w:val="none" w:sz="0" w:space="0" w:color="auto"/>
                  </w:divBdr>
                  <w:divsChild>
                    <w:div w:id="57501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10740">
          <w:marLeft w:val="0"/>
          <w:marRight w:val="0"/>
          <w:marTop w:val="0"/>
          <w:marBottom w:val="0"/>
          <w:divBdr>
            <w:top w:val="none" w:sz="0" w:space="0" w:color="auto"/>
            <w:left w:val="none" w:sz="0" w:space="0" w:color="auto"/>
            <w:bottom w:val="none" w:sz="0" w:space="0" w:color="auto"/>
            <w:right w:val="none" w:sz="0" w:space="0" w:color="auto"/>
          </w:divBdr>
        </w:div>
        <w:div w:id="17512472">
          <w:marLeft w:val="0"/>
          <w:marRight w:val="0"/>
          <w:marTop w:val="0"/>
          <w:marBottom w:val="0"/>
          <w:divBdr>
            <w:top w:val="none" w:sz="0" w:space="0" w:color="auto"/>
            <w:left w:val="none" w:sz="0" w:space="0" w:color="auto"/>
            <w:bottom w:val="none" w:sz="0" w:space="0" w:color="auto"/>
            <w:right w:val="none" w:sz="0" w:space="0" w:color="auto"/>
          </w:divBdr>
          <w:divsChild>
            <w:div w:id="1607273771">
              <w:marLeft w:val="0"/>
              <w:marRight w:val="0"/>
              <w:marTop w:val="0"/>
              <w:marBottom w:val="0"/>
              <w:divBdr>
                <w:top w:val="none" w:sz="0" w:space="0" w:color="auto"/>
                <w:left w:val="none" w:sz="0" w:space="0" w:color="auto"/>
                <w:bottom w:val="none" w:sz="0" w:space="0" w:color="auto"/>
                <w:right w:val="none" w:sz="0" w:space="0" w:color="auto"/>
              </w:divBdr>
              <w:divsChild>
                <w:div w:id="1715278061">
                  <w:marLeft w:val="-300"/>
                  <w:marRight w:val="0"/>
                  <w:marTop w:val="60"/>
                  <w:marBottom w:val="0"/>
                  <w:divBdr>
                    <w:top w:val="none" w:sz="0" w:space="0" w:color="auto"/>
                    <w:left w:val="none" w:sz="0" w:space="0" w:color="auto"/>
                    <w:bottom w:val="none" w:sz="0" w:space="0" w:color="auto"/>
                    <w:right w:val="none" w:sz="0" w:space="0" w:color="auto"/>
                  </w:divBdr>
                </w:div>
              </w:divsChild>
            </w:div>
            <w:div w:id="1448550262">
              <w:marLeft w:val="0"/>
              <w:marRight w:val="0"/>
              <w:marTop w:val="0"/>
              <w:marBottom w:val="0"/>
              <w:divBdr>
                <w:top w:val="none" w:sz="0" w:space="0" w:color="auto"/>
                <w:left w:val="none" w:sz="0" w:space="0" w:color="auto"/>
                <w:bottom w:val="none" w:sz="0" w:space="0" w:color="auto"/>
                <w:right w:val="none" w:sz="0" w:space="0" w:color="auto"/>
              </w:divBdr>
              <w:divsChild>
                <w:div w:id="824586343">
                  <w:marLeft w:val="0"/>
                  <w:marRight w:val="0"/>
                  <w:marTop w:val="0"/>
                  <w:marBottom w:val="0"/>
                  <w:divBdr>
                    <w:top w:val="none" w:sz="0" w:space="0" w:color="auto"/>
                    <w:left w:val="none" w:sz="0" w:space="0" w:color="auto"/>
                    <w:bottom w:val="none" w:sz="0" w:space="0" w:color="auto"/>
                    <w:right w:val="none" w:sz="0" w:space="0" w:color="auto"/>
                  </w:divBdr>
                </w:div>
                <w:div w:id="663703750">
                  <w:marLeft w:val="0"/>
                  <w:marRight w:val="0"/>
                  <w:marTop w:val="0"/>
                  <w:marBottom w:val="0"/>
                  <w:divBdr>
                    <w:top w:val="none" w:sz="0" w:space="0" w:color="auto"/>
                    <w:left w:val="none" w:sz="0" w:space="0" w:color="auto"/>
                    <w:bottom w:val="none" w:sz="0" w:space="0" w:color="auto"/>
                    <w:right w:val="none" w:sz="0" w:space="0" w:color="auto"/>
                  </w:divBdr>
                  <w:divsChild>
                    <w:div w:id="179903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96026">
      <w:bodyDiv w:val="1"/>
      <w:marLeft w:val="0"/>
      <w:marRight w:val="0"/>
      <w:marTop w:val="0"/>
      <w:marBottom w:val="0"/>
      <w:divBdr>
        <w:top w:val="none" w:sz="0" w:space="0" w:color="auto"/>
        <w:left w:val="none" w:sz="0" w:space="0" w:color="auto"/>
        <w:bottom w:val="none" w:sz="0" w:space="0" w:color="auto"/>
        <w:right w:val="none" w:sz="0" w:space="0" w:color="auto"/>
      </w:divBdr>
      <w:divsChild>
        <w:div w:id="419303358">
          <w:marLeft w:val="0"/>
          <w:marRight w:val="0"/>
          <w:marTop w:val="0"/>
          <w:marBottom w:val="0"/>
          <w:divBdr>
            <w:top w:val="none" w:sz="0" w:space="0" w:color="auto"/>
            <w:left w:val="none" w:sz="0" w:space="0" w:color="auto"/>
            <w:bottom w:val="none" w:sz="0" w:space="0" w:color="auto"/>
            <w:right w:val="none" w:sz="0" w:space="0" w:color="auto"/>
          </w:divBdr>
          <w:divsChild>
            <w:div w:id="794058873">
              <w:marLeft w:val="0"/>
              <w:marRight w:val="0"/>
              <w:marTop w:val="0"/>
              <w:marBottom w:val="0"/>
              <w:divBdr>
                <w:top w:val="none" w:sz="0" w:space="0" w:color="auto"/>
                <w:left w:val="none" w:sz="0" w:space="0" w:color="auto"/>
                <w:bottom w:val="none" w:sz="0" w:space="0" w:color="auto"/>
                <w:right w:val="none" w:sz="0" w:space="0" w:color="auto"/>
              </w:divBdr>
              <w:divsChild>
                <w:div w:id="64958372">
                  <w:marLeft w:val="0"/>
                  <w:marRight w:val="0"/>
                  <w:marTop w:val="0"/>
                  <w:marBottom w:val="0"/>
                  <w:divBdr>
                    <w:top w:val="none" w:sz="0" w:space="0" w:color="auto"/>
                    <w:left w:val="none" w:sz="0" w:space="0" w:color="auto"/>
                    <w:bottom w:val="none" w:sz="0" w:space="0" w:color="auto"/>
                    <w:right w:val="none" w:sz="0" w:space="0" w:color="auto"/>
                  </w:divBdr>
                  <w:divsChild>
                    <w:div w:id="62712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273148">
          <w:marLeft w:val="0"/>
          <w:marRight w:val="0"/>
          <w:marTop w:val="0"/>
          <w:marBottom w:val="0"/>
          <w:divBdr>
            <w:top w:val="none" w:sz="0" w:space="0" w:color="auto"/>
            <w:left w:val="none" w:sz="0" w:space="0" w:color="auto"/>
            <w:bottom w:val="none" w:sz="0" w:space="0" w:color="auto"/>
            <w:right w:val="none" w:sz="0" w:space="0" w:color="auto"/>
          </w:divBdr>
        </w:div>
        <w:div w:id="321274121">
          <w:marLeft w:val="0"/>
          <w:marRight w:val="0"/>
          <w:marTop w:val="0"/>
          <w:marBottom w:val="0"/>
          <w:divBdr>
            <w:top w:val="none" w:sz="0" w:space="0" w:color="auto"/>
            <w:left w:val="none" w:sz="0" w:space="0" w:color="auto"/>
            <w:bottom w:val="none" w:sz="0" w:space="0" w:color="auto"/>
            <w:right w:val="none" w:sz="0" w:space="0" w:color="auto"/>
          </w:divBdr>
          <w:divsChild>
            <w:div w:id="1217356387">
              <w:marLeft w:val="0"/>
              <w:marRight w:val="0"/>
              <w:marTop w:val="0"/>
              <w:marBottom w:val="0"/>
              <w:divBdr>
                <w:top w:val="none" w:sz="0" w:space="0" w:color="auto"/>
                <w:left w:val="none" w:sz="0" w:space="0" w:color="auto"/>
                <w:bottom w:val="none" w:sz="0" w:space="0" w:color="auto"/>
                <w:right w:val="none" w:sz="0" w:space="0" w:color="auto"/>
              </w:divBdr>
              <w:divsChild>
                <w:div w:id="1833059928">
                  <w:marLeft w:val="-300"/>
                  <w:marRight w:val="0"/>
                  <w:marTop w:val="60"/>
                  <w:marBottom w:val="0"/>
                  <w:divBdr>
                    <w:top w:val="none" w:sz="0" w:space="0" w:color="auto"/>
                    <w:left w:val="none" w:sz="0" w:space="0" w:color="auto"/>
                    <w:bottom w:val="none" w:sz="0" w:space="0" w:color="auto"/>
                    <w:right w:val="none" w:sz="0" w:space="0" w:color="auto"/>
                  </w:divBdr>
                </w:div>
              </w:divsChild>
            </w:div>
            <w:div w:id="1122462781">
              <w:marLeft w:val="0"/>
              <w:marRight w:val="0"/>
              <w:marTop w:val="0"/>
              <w:marBottom w:val="0"/>
              <w:divBdr>
                <w:top w:val="none" w:sz="0" w:space="0" w:color="auto"/>
                <w:left w:val="none" w:sz="0" w:space="0" w:color="auto"/>
                <w:bottom w:val="none" w:sz="0" w:space="0" w:color="auto"/>
                <w:right w:val="none" w:sz="0" w:space="0" w:color="auto"/>
              </w:divBdr>
              <w:divsChild>
                <w:div w:id="430321622">
                  <w:marLeft w:val="0"/>
                  <w:marRight w:val="0"/>
                  <w:marTop w:val="0"/>
                  <w:marBottom w:val="0"/>
                  <w:divBdr>
                    <w:top w:val="none" w:sz="0" w:space="0" w:color="auto"/>
                    <w:left w:val="none" w:sz="0" w:space="0" w:color="auto"/>
                    <w:bottom w:val="none" w:sz="0" w:space="0" w:color="auto"/>
                    <w:right w:val="none" w:sz="0" w:space="0" w:color="auto"/>
                  </w:divBdr>
                </w:div>
                <w:div w:id="1849441503">
                  <w:marLeft w:val="0"/>
                  <w:marRight w:val="0"/>
                  <w:marTop w:val="0"/>
                  <w:marBottom w:val="0"/>
                  <w:divBdr>
                    <w:top w:val="none" w:sz="0" w:space="0" w:color="auto"/>
                    <w:left w:val="none" w:sz="0" w:space="0" w:color="auto"/>
                    <w:bottom w:val="none" w:sz="0" w:space="0" w:color="auto"/>
                    <w:right w:val="none" w:sz="0" w:space="0" w:color="auto"/>
                  </w:divBdr>
                  <w:divsChild>
                    <w:div w:id="130705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615629">
      <w:bodyDiv w:val="1"/>
      <w:marLeft w:val="0"/>
      <w:marRight w:val="0"/>
      <w:marTop w:val="0"/>
      <w:marBottom w:val="0"/>
      <w:divBdr>
        <w:top w:val="none" w:sz="0" w:space="0" w:color="auto"/>
        <w:left w:val="none" w:sz="0" w:space="0" w:color="auto"/>
        <w:bottom w:val="none" w:sz="0" w:space="0" w:color="auto"/>
        <w:right w:val="none" w:sz="0" w:space="0" w:color="auto"/>
      </w:divBdr>
      <w:divsChild>
        <w:div w:id="1433747192">
          <w:marLeft w:val="0"/>
          <w:marRight w:val="0"/>
          <w:marTop w:val="0"/>
          <w:marBottom w:val="0"/>
          <w:divBdr>
            <w:top w:val="none" w:sz="0" w:space="0" w:color="auto"/>
            <w:left w:val="none" w:sz="0" w:space="0" w:color="auto"/>
            <w:bottom w:val="none" w:sz="0" w:space="0" w:color="auto"/>
            <w:right w:val="none" w:sz="0" w:space="0" w:color="auto"/>
          </w:divBdr>
          <w:divsChild>
            <w:div w:id="839274077">
              <w:marLeft w:val="0"/>
              <w:marRight w:val="0"/>
              <w:marTop w:val="0"/>
              <w:marBottom w:val="0"/>
              <w:divBdr>
                <w:top w:val="none" w:sz="0" w:space="0" w:color="auto"/>
                <w:left w:val="none" w:sz="0" w:space="0" w:color="auto"/>
                <w:bottom w:val="none" w:sz="0" w:space="0" w:color="auto"/>
                <w:right w:val="none" w:sz="0" w:space="0" w:color="auto"/>
              </w:divBdr>
              <w:divsChild>
                <w:div w:id="1869903588">
                  <w:marLeft w:val="0"/>
                  <w:marRight w:val="0"/>
                  <w:marTop w:val="0"/>
                  <w:marBottom w:val="0"/>
                  <w:divBdr>
                    <w:top w:val="none" w:sz="0" w:space="0" w:color="auto"/>
                    <w:left w:val="none" w:sz="0" w:space="0" w:color="auto"/>
                    <w:bottom w:val="none" w:sz="0" w:space="0" w:color="auto"/>
                    <w:right w:val="none" w:sz="0" w:space="0" w:color="auto"/>
                  </w:divBdr>
                  <w:divsChild>
                    <w:div w:id="154324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534154">
          <w:marLeft w:val="0"/>
          <w:marRight w:val="0"/>
          <w:marTop w:val="0"/>
          <w:marBottom w:val="0"/>
          <w:divBdr>
            <w:top w:val="none" w:sz="0" w:space="0" w:color="auto"/>
            <w:left w:val="none" w:sz="0" w:space="0" w:color="auto"/>
            <w:bottom w:val="none" w:sz="0" w:space="0" w:color="auto"/>
            <w:right w:val="none" w:sz="0" w:space="0" w:color="auto"/>
          </w:divBdr>
        </w:div>
        <w:div w:id="666515777">
          <w:marLeft w:val="0"/>
          <w:marRight w:val="0"/>
          <w:marTop w:val="0"/>
          <w:marBottom w:val="0"/>
          <w:divBdr>
            <w:top w:val="none" w:sz="0" w:space="0" w:color="auto"/>
            <w:left w:val="none" w:sz="0" w:space="0" w:color="auto"/>
            <w:bottom w:val="none" w:sz="0" w:space="0" w:color="auto"/>
            <w:right w:val="none" w:sz="0" w:space="0" w:color="auto"/>
          </w:divBdr>
          <w:divsChild>
            <w:div w:id="212885723">
              <w:marLeft w:val="0"/>
              <w:marRight w:val="0"/>
              <w:marTop w:val="0"/>
              <w:marBottom w:val="0"/>
              <w:divBdr>
                <w:top w:val="none" w:sz="0" w:space="0" w:color="auto"/>
                <w:left w:val="none" w:sz="0" w:space="0" w:color="auto"/>
                <w:bottom w:val="none" w:sz="0" w:space="0" w:color="auto"/>
                <w:right w:val="none" w:sz="0" w:space="0" w:color="auto"/>
              </w:divBdr>
              <w:divsChild>
                <w:div w:id="464354223">
                  <w:marLeft w:val="-300"/>
                  <w:marRight w:val="0"/>
                  <w:marTop w:val="60"/>
                  <w:marBottom w:val="0"/>
                  <w:divBdr>
                    <w:top w:val="none" w:sz="0" w:space="0" w:color="auto"/>
                    <w:left w:val="none" w:sz="0" w:space="0" w:color="auto"/>
                    <w:bottom w:val="none" w:sz="0" w:space="0" w:color="auto"/>
                    <w:right w:val="none" w:sz="0" w:space="0" w:color="auto"/>
                  </w:divBdr>
                </w:div>
              </w:divsChild>
            </w:div>
            <w:div w:id="719207639">
              <w:marLeft w:val="0"/>
              <w:marRight w:val="0"/>
              <w:marTop w:val="0"/>
              <w:marBottom w:val="0"/>
              <w:divBdr>
                <w:top w:val="none" w:sz="0" w:space="0" w:color="auto"/>
                <w:left w:val="none" w:sz="0" w:space="0" w:color="auto"/>
                <w:bottom w:val="none" w:sz="0" w:space="0" w:color="auto"/>
                <w:right w:val="none" w:sz="0" w:space="0" w:color="auto"/>
              </w:divBdr>
              <w:divsChild>
                <w:div w:id="1436361586">
                  <w:marLeft w:val="0"/>
                  <w:marRight w:val="0"/>
                  <w:marTop w:val="0"/>
                  <w:marBottom w:val="0"/>
                  <w:divBdr>
                    <w:top w:val="none" w:sz="0" w:space="0" w:color="auto"/>
                    <w:left w:val="none" w:sz="0" w:space="0" w:color="auto"/>
                    <w:bottom w:val="none" w:sz="0" w:space="0" w:color="auto"/>
                    <w:right w:val="none" w:sz="0" w:space="0" w:color="auto"/>
                  </w:divBdr>
                </w:div>
                <w:div w:id="1264146371">
                  <w:marLeft w:val="0"/>
                  <w:marRight w:val="0"/>
                  <w:marTop w:val="0"/>
                  <w:marBottom w:val="0"/>
                  <w:divBdr>
                    <w:top w:val="none" w:sz="0" w:space="0" w:color="auto"/>
                    <w:left w:val="none" w:sz="0" w:space="0" w:color="auto"/>
                    <w:bottom w:val="none" w:sz="0" w:space="0" w:color="auto"/>
                    <w:right w:val="none" w:sz="0" w:space="0" w:color="auto"/>
                  </w:divBdr>
                  <w:divsChild>
                    <w:div w:id="1647541809">
                      <w:marLeft w:val="0"/>
                      <w:marRight w:val="0"/>
                      <w:marTop w:val="0"/>
                      <w:marBottom w:val="0"/>
                      <w:divBdr>
                        <w:top w:val="none" w:sz="0" w:space="0" w:color="auto"/>
                        <w:left w:val="none" w:sz="0" w:space="0" w:color="auto"/>
                        <w:bottom w:val="none" w:sz="0" w:space="0" w:color="auto"/>
                        <w:right w:val="none" w:sz="0" w:space="0" w:color="auto"/>
                      </w:divBdr>
                    </w:div>
                  </w:divsChild>
                </w:div>
                <w:div w:id="1782457225">
                  <w:marLeft w:val="0"/>
                  <w:marRight w:val="0"/>
                  <w:marTop w:val="0"/>
                  <w:marBottom w:val="0"/>
                  <w:divBdr>
                    <w:top w:val="none" w:sz="0" w:space="0" w:color="auto"/>
                    <w:left w:val="none" w:sz="0" w:space="0" w:color="auto"/>
                    <w:bottom w:val="none" w:sz="0" w:space="0" w:color="auto"/>
                    <w:right w:val="none" w:sz="0" w:space="0" w:color="auto"/>
                  </w:divBdr>
                </w:div>
                <w:div w:id="516699701">
                  <w:marLeft w:val="0"/>
                  <w:marRight w:val="0"/>
                  <w:marTop w:val="0"/>
                  <w:marBottom w:val="0"/>
                  <w:divBdr>
                    <w:top w:val="none" w:sz="0" w:space="0" w:color="auto"/>
                    <w:left w:val="none" w:sz="0" w:space="0" w:color="auto"/>
                    <w:bottom w:val="none" w:sz="0" w:space="0" w:color="auto"/>
                    <w:right w:val="none" w:sz="0" w:space="0" w:color="auto"/>
                  </w:divBdr>
                  <w:divsChild>
                    <w:div w:id="149055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719324">
      <w:bodyDiv w:val="1"/>
      <w:marLeft w:val="0"/>
      <w:marRight w:val="0"/>
      <w:marTop w:val="0"/>
      <w:marBottom w:val="0"/>
      <w:divBdr>
        <w:top w:val="none" w:sz="0" w:space="0" w:color="auto"/>
        <w:left w:val="none" w:sz="0" w:space="0" w:color="auto"/>
        <w:bottom w:val="none" w:sz="0" w:space="0" w:color="auto"/>
        <w:right w:val="none" w:sz="0" w:space="0" w:color="auto"/>
      </w:divBdr>
      <w:divsChild>
        <w:div w:id="1260872461">
          <w:marLeft w:val="0"/>
          <w:marRight w:val="0"/>
          <w:marTop w:val="0"/>
          <w:marBottom w:val="0"/>
          <w:divBdr>
            <w:top w:val="none" w:sz="0" w:space="0" w:color="auto"/>
            <w:left w:val="none" w:sz="0" w:space="0" w:color="auto"/>
            <w:bottom w:val="none" w:sz="0" w:space="0" w:color="auto"/>
            <w:right w:val="none" w:sz="0" w:space="0" w:color="auto"/>
          </w:divBdr>
          <w:divsChild>
            <w:div w:id="342368026">
              <w:marLeft w:val="0"/>
              <w:marRight w:val="0"/>
              <w:marTop w:val="0"/>
              <w:marBottom w:val="0"/>
              <w:divBdr>
                <w:top w:val="none" w:sz="0" w:space="0" w:color="auto"/>
                <w:left w:val="none" w:sz="0" w:space="0" w:color="auto"/>
                <w:bottom w:val="none" w:sz="0" w:space="0" w:color="auto"/>
                <w:right w:val="none" w:sz="0" w:space="0" w:color="auto"/>
              </w:divBdr>
              <w:divsChild>
                <w:div w:id="293603786">
                  <w:marLeft w:val="0"/>
                  <w:marRight w:val="0"/>
                  <w:marTop w:val="0"/>
                  <w:marBottom w:val="0"/>
                  <w:divBdr>
                    <w:top w:val="none" w:sz="0" w:space="0" w:color="auto"/>
                    <w:left w:val="none" w:sz="0" w:space="0" w:color="auto"/>
                    <w:bottom w:val="none" w:sz="0" w:space="0" w:color="auto"/>
                    <w:right w:val="none" w:sz="0" w:space="0" w:color="auto"/>
                  </w:divBdr>
                  <w:divsChild>
                    <w:div w:id="116408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168503">
          <w:marLeft w:val="0"/>
          <w:marRight w:val="0"/>
          <w:marTop w:val="0"/>
          <w:marBottom w:val="0"/>
          <w:divBdr>
            <w:top w:val="none" w:sz="0" w:space="0" w:color="auto"/>
            <w:left w:val="none" w:sz="0" w:space="0" w:color="auto"/>
            <w:bottom w:val="none" w:sz="0" w:space="0" w:color="auto"/>
            <w:right w:val="none" w:sz="0" w:space="0" w:color="auto"/>
          </w:divBdr>
        </w:div>
        <w:div w:id="446509594">
          <w:marLeft w:val="0"/>
          <w:marRight w:val="0"/>
          <w:marTop w:val="0"/>
          <w:marBottom w:val="0"/>
          <w:divBdr>
            <w:top w:val="none" w:sz="0" w:space="0" w:color="auto"/>
            <w:left w:val="none" w:sz="0" w:space="0" w:color="auto"/>
            <w:bottom w:val="none" w:sz="0" w:space="0" w:color="auto"/>
            <w:right w:val="none" w:sz="0" w:space="0" w:color="auto"/>
          </w:divBdr>
          <w:divsChild>
            <w:div w:id="855122676">
              <w:marLeft w:val="0"/>
              <w:marRight w:val="0"/>
              <w:marTop w:val="0"/>
              <w:marBottom w:val="0"/>
              <w:divBdr>
                <w:top w:val="none" w:sz="0" w:space="0" w:color="auto"/>
                <w:left w:val="none" w:sz="0" w:space="0" w:color="auto"/>
                <w:bottom w:val="none" w:sz="0" w:space="0" w:color="auto"/>
                <w:right w:val="none" w:sz="0" w:space="0" w:color="auto"/>
              </w:divBdr>
              <w:divsChild>
                <w:div w:id="959805583">
                  <w:marLeft w:val="-300"/>
                  <w:marRight w:val="0"/>
                  <w:marTop w:val="60"/>
                  <w:marBottom w:val="0"/>
                  <w:divBdr>
                    <w:top w:val="none" w:sz="0" w:space="0" w:color="auto"/>
                    <w:left w:val="none" w:sz="0" w:space="0" w:color="auto"/>
                    <w:bottom w:val="none" w:sz="0" w:space="0" w:color="auto"/>
                    <w:right w:val="none" w:sz="0" w:space="0" w:color="auto"/>
                  </w:divBdr>
                </w:div>
              </w:divsChild>
            </w:div>
            <w:div w:id="2040743758">
              <w:marLeft w:val="0"/>
              <w:marRight w:val="0"/>
              <w:marTop w:val="0"/>
              <w:marBottom w:val="0"/>
              <w:divBdr>
                <w:top w:val="none" w:sz="0" w:space="0" w:color="auto"/>
                <w:left w:val="none" w:sz="0" w:space="0" w:color="auto"/>
                <w:bottom w:val="none" w:sz="0" w:space="0" w:color="auto"/>
                <w:right w:val="none" w:sz="0" w:space="0" w:color="auto"/>
              </w:divBdr>
              <w:divsChild>
                <w:div w:id="146014294">
                  <w:marLeft w:val="0"/>
                  <w:marRight w:val="0"/>
                  <w:marTop w:val="0"/>
                  <w:marBottom w:val="0"/>
                  <w:divBdr>
                    <w:top w:val="none" w:sz="0" w:space="0" w:color="auto"/>
                    <w:left w:val="none" w:sz="0" w:space="0" w:color="auto"/>
                    <w:bottom w:val="none" w:sz="0" w:space="0" w:color="auto"/>
                    <w:right w:val="none" w:sz="0" w:space="0" w:color="auto"/>
                  </w:divBdr>
                </w:div>
                <w:div w:id="1721439807">
                  <w:marLeft w:val="0"/>
                  <w:marRight w:val="0"/>
                  <w:marTop w:val="0"/>
                  <w:marBottom w:val="0"/>
                  <w:divBdr>
                    <w:top w:val="none" w:sz="0" w:space="0" w:color="auto"/>
                    <w:left w:val="none" w:sz="0" w:space="0" w:color="auto"/>
                    <w:bottom w:val="none" w:sz="0" w:space="0" w:color="auto"/>
                    <w:right w:val="none" w:sz="0" w:space="0" w:color="auto"/>
                  </w:divBdr>
                  <w:divsChild>
                    <w:div w:id="200311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236106">
      <w:bodyDiv w:val="1"/>
      <w:marLeft w:val="0"/>
      <w:marRight w:val="0"/>
      <w:marTop w:val="0"/>
      <w:marBottom w:val="0"/>
      <w:divBdr>
        <w:top w:val="none" w:sz="0" w:space="0" w:color="auto"/>
        <w:left w:val="none" w:sz="0" w:space="0" w:color="auto"/>
        <w:bottom w:val="none" w:sz="0" w:space="0" w:color="auto"/>
        <w:right w:val="none" w:sz="0" w:space="0" w:color="auto"/>
      </w:divBdr>
    </w:div>
    <w:div w:id="903107415">
      <w:bodyDiv w:val="1"/>
      <w:marLeft w:val="0"/>
      <w:marRight w:val="0"/>
      <w:marTop w:val="0"/>
      <w:marBottom w:val="0"/>
      <w:divBdr>
        <w:top w:val="none" w:sz="0" w:space="0" w:color="auto"/>
        <w:left w:val="none" w:sz="0" w:space="0" w:color="auto"/>
        <w:bottom w:val="none" w:sz="0" w:space="0" w:color="auto"/>
        <w:right w:val="none" w:sz="0" w:space="0" w:color="auto"/>
      </w:divBdr>
      <w:divsChild>
        <w:div w:id="900293931">
          <w:marLeft w:val="0"/>
          <w:marRight w:val="0"/>
          <w:marTop w:val="0"/>
          <w:marBottom w:val="0"/>
          <w:divBdr>
            <w:top w:val="none" w:sz="0" w:space="0" w:color="auto"/>
            <w:left w:val="none" w:sz="0" w:space="0" w:color="auto"/>
            <w:bottom w:val="none" w:sz="0" w:space="0" w:color="auto"/>
            <w:right w:val="none" w:sz="0" w:space="0" w:color="auto"/>
          </w:divBdr>
          <w:divsChild>
            <w:div w:id="74477857">
              <w:marLeft w:val="0"/>
              <w:marRight w:val="0"/>
              <w:marTop w:val="0"/>
              <w:marBottom w:val="0"/>
              <w:divBdr>
                <w:top w:val="none" w:sz="0" w:space="0" w:color="auto"/>
                <w:left w:val="none" w:sz="0" w:space="0" w:color="auto"/>
                <w:bottom w:val="none" w:sz="0" w:space="0" w:color="auto"/>
                <w:right w:val="none" w:sz="0" w:space="0" w:color="auto"/>
              </w:divBdr>
              <w:divsChild>
                <w:div w:id="838693986">
                  <w:marLeft w:val="0"/>
                  <w:marRight w:val="0"/>
                  <w:marTop w:val="0"/>
                  <w:marBottom w:val="0"/>
                  <w:divBdr>
                    <w:top w:val="none" w:sz="0" w:space="0" w:color="auto"/>
                    <w:left w:val="none" w:sz="0" w:space="0" w:color="auto"/>
                    <w:bottom w:val="none" w:sz="0" w:space="0" w:color="auto"/>
                    <w:right w:val="none" w:sz="0" w:space="0" w:color="auto"/>
                  </w:divBdr>
                  <w:divsChild>
                    <w:div w:id="19943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194153">
          <w:marLeft w:val="0"/>
          <w:marRight w:val="0"/>
          <w:marTop w:val="0"/>
          <w:marBottom w:val="0"/>
          <w:divBdr>
            <w:top w:val="none" w:sz="0" w:space="0" w:color="auto"/>
            <w:left w:val="none" w:sz="0" w:space="0" w:color="auto"/>
            <w:bottom w:val="none" w:sz="0" w:space="0" w:color="auto"/>
            <w:right w:val="none" w:sz="0" w:space="0" w:color="auto"/>
          </w:divBdr>
        </w:div>
        <w:div w:id="2130590308">
          <w:marLeft w:val="0"/>
          <w:marRight w:val="0"/>
          <w:marTop w:val="0"/>
          <w:marBottom w:val="0"/>
          <w:divBdr>
            <w:top w:val="none" w:sz="0" w:space="0" w:color="auto"/>
            <w:left w:val="none" w:sz="0" w:space="0" w:color="auto"/>
            <w:bottom w:val="none" w:sz="0" w:space="0" w:color="auto"/>
            <w:right w:val="none" w:sz="0" w:space="0" w:color="auto"/>
          </w:divBdr>
          <w:divsChild>
            <w:div w:id="612399566">
              <w:marLeft w:val="0"/>
              <w:marRight w:val="0"/>
              <w:marTop w:val="0"/>
              <w:marBottom w:val="0"/>
              <w:divBdr>
                <w:top w:val="none" w:sz="0" w:space="0" w:color="auto"/>
                <w:left w:val="none" w:sz="0" w:space="0" w:color="auto"/>
                <w:bottom w:val="none" w:sz="0" w:space="0" w:color="auto"/>
                <w:right w:val="none" w:sz="0" w:space="0" w:color="auto"/>
              </w:divBdr>
              <w:divsChild>
                <w:div w:id="925378707">
                  <w:marLeft w:val="-300"/>
                  <w:marRight w:val="0"/>
                  <w:marTop w:val="60"/>
                  <w:marBottom w:val="0"/>
                  <w:divBdr>
                    <w:top w:val="none" w:sz="0" w:space="0" w:color="auto"/>
                    <w:left w:val="none" w:sz="0" w:space="0" w:color="auto"/>
                    <w:bottom w:val="none" w:sz="0" w:space="0" w:color="auto"/>
                    <w:right w:val="none" w:sz="0" w:space="0" w:color="auto"/>
                  </w:divBdr>
                </w:div>
              </w:divsChild>
            </w:div>
            <w:div w:id="143276149">
              <w:marLeft w:val="0"/>
              <w:marRight w:val="0"/>
              <w:marTop w:val="0"/>
              <w:marBottom w:val="0"/>
              <w:divBdr>
                <w:top w:val="none" w:sz="0" w:space="0" w:color="auto"/>
                <w:left w:val="none" w:sz="0" w:space="0" w:color="auto"/>
                <w:bottom w:val="none" w:sz="0" w:space="0" w:color="auto"/>
                <w:right w:val="none" w:sz="0" w:space="0" w:color="auto"/>
              </w:divBdr>
              <w:divsChild>
                <w:div w:id="281494925">
                  <w:marLeft w:val="0"/>
                  <w:marRight w:val="0"/>
                  <w:marTop w:val="0"/>
                  <w:marBottom w:val="0"/>
                  <w:divBdr>
                    <w:top w:val="none" w:sz="0" w:space="0" w:color="auto"/>
                    <w:left w:val="none" w:sz="0" w:space="0" w:color="auto"/>
                    <w:bottom w:val="none" w:sz="0" w:space="0" w:color="auto"/>
                    <w:right w:val="none" w:sz="0" w:space="0" w:color="auto"/>
                  </w:divBdr>
                </w:div>
                <w:div w:id="1698893775">
                  <w:marLeft w:val="0"/>
                  <w:marRight w:val="0"/>
                  <w:marTop w:val="0"/>
                  <w:marBottom w:val="0"/>
                  <w:divBdr>
                    <w:top w:val="none" w:sz="0" w:space="0" w:color="auto"/>
                    <w:left w:val="none" w:sz="0" w:space="0" w:color="auto"/>
                    <w:bottom w:val="none" w:sz="0" w:space="0" w:color="auto"/>
                    <w:right w:val="none" w:sz="0" w:space="0" w:color="auto"/>
                  </w:divBdr>
                  <w:divsChild>
                    <w:div w:id="154298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805872">
      <w:bodyDiv w:val="1"/>
      <w:marLeft w:val="0"/>
      <w:marRight w:val="0"/>
      <w:marTop w:val="0"/>
      <w:marBottom w:val="0"/>
      <w:divBdr>
        <w:top w:val="none" w:sz="0" w:space="0" w:color="auto"/>
        <w:left w:val="none" w:sz="0" w:space="0" w:color="auto"/>
        <w:bottom w:val="none" w:sz="0" w:space="0" w:color="auto"/>
        <w:right w:val="none" w:sz="0" w:space="0" w:color="auto"/>
      </w:divBdr>
    </w:div>
    <w:div w:id="1013415875">
      <w:bodyDiv w:val="1"/>
      <w:marLeft w:val="0"/>
      <w:marRight w:val="0"/>
      <w:marTop w:val="0"/>
      <w:marBottom w:val="0"/>
      <w:divBdr>
        <w:top w:val="none" w:sz="0" w:space="0" w:color="auto"/>
        <w:left w:val="none" w:sz="0" w:space="0" w:color="auto"/>
        <w:bottom w:val="none" w:sz="0" w:space="0" w:color="auto"/>
        <w:right w:val="none" w:sz="0" w:space="0" w:color="auto"/>
      </w:divBdr>
      <w:divsChild>
        <w:div w:id="1939823559">
          <w:marLeft w:val="0"/>
          <w:marRight w:val="0"/>
          <w:marTop w:val="0"/>
          <w:marBottom w:val="0"/>
          <w:divBdr>
            <w:top w:val="none" w:sz="0" w:space="0" w:color="auto"/>
            <w:left w:val="none" w:sz="0" w:space="0" w:color="auto"/>
            <w:bottom w:val="none" w:sz="0" w:space="0" w:color="auto"/>
            <w:right w:val="none" w:sz="0" w:space="0" w:color="auto"/>
          </w:divBdr>
          <w:divsChild>
            <w:div w:id="2023360712">
              <w:marLeft w:val="0"/>
              <w:marRight w:val="0"/>
              <w:marTop w:val="0"/>
              <w:marBottom w:val="0"/>
              <w:divBdr>
                <w:top w:val="none" w:sz="0" w:space="0" w:color="auto"/>
                <w:left w:val="none" w:sz="0" w:space="0" w:color="auto"/>
                <w:bottom w:val="none" w:sz="0" w:space="0" w:color="auto"/>
                <w:right w:val="none" w:sz="0" w:space="0" w:color="auto"/>
              </w:divBdr>
              <w:divsChild>
                <w:div w:id="105586720">
                  <w:marLeft w:val="0"/>
                  <w:marRight w:val="0"/>
                  <w:marTop w:val="0"/>
                  <w:marBottom w:val="0"/>
                  <w:divBdr>
                    <w:top w:val="none" w:sz="0" w:space="0" w:color="auto"/>
                    <w:left w:val="none" w:sz="0" w:space="0" w:color="auto"/>
                    <w:bottom w:val="none" w:sz="0" w:space="0" w:color="auto"/>
                    <w:right w:val="none" w:sz="0" w:space="0" w:color="auto"/>
                  </w:divBdr>
                  <w:divsChild>
                    <w:div w:id="27043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042091">
          <w:marLeft w:val="0"/>
          <w:marRight w:val="0"/>
          <w:marTop w:val="0"/>
          <w:marBottom w:val="0"/>
          <w:divBdr>
            <w:top w:val="none" w:sz="0" w:space="0" w:color="auto"/>
            <w:left w:val="none" w:sz="0" w:space="0" w:color="auto"/>
            <w:bottom w:val="none" w:sz="0" w:space="0" w:color="auto"/>
            <w:right w:val="none" w:sz="0" w:space="0" w:color="auto"/>
          </w:divBdr>
        </w:div>
        <w:div w:id="1156454650">
          <w:marLeft w:val="0"/>
          <w:marRight w:val="0"/>
          <w:marTop w:val="0"/>
          <w:marBottom w:val="0"/>
          <w:divBdr>
            <w:top w:val="none" w:sz="0" w:space="0" w:color="auto"/>
            <w:left w:val="none" w:sz="0" w:space="0" w:color="auto"/>
            <w:bottom w:val="none" w:sz="0" w:space="0" w:color="auto"/>
            <w:right w:val="none" w:sz="0" w:space="0" w:color="auto"/>
          </w:divBdr>
          <w:divsChild>
            <w:div w:id="1240485798">
              <w:marLeft w:val="0"/>
              <w:marRight w:val="0"/>
              <w:marTop w:val="0"/>
              <w:marBottom w:val="0"/>
              <w:divBdr>
                <w:top w:val="none" w:sz="0" w:space="0" w:color="auto"/>
                <w:left w:val="none" w:sz="0" w:space="0" w:color="auto"/>
                <w:bottom w:val="none" w:sz="0" w:space="0" w:color="auto"/>
                <w:right w:val="none" w:sz="0" w:space="0" w:color="auto"/>
              </w:divBdr>
              <w:divsChild>
                <w:div w:id="876040833">
                  <w:marLeft w:val="-300"/>
                  <w:marRight w:val="0"/>
                  <w:marTop w:val="60"/>
                  <w:marBottom w:val="0"/>
                  <w:divBdr>
                    <w:top w:val="none" w:sz="0" w:space="0" w:color="auto"/>
                    <w:left w:val="none" w:sz="0" w:space="0" w:color="auto"/>
                    <w:bottom w:val="none" w:sz="0" w:space="0" w:color="auto"/>
                    <w:right w:val="none" w:sz="0" w:space="0" w:color="auto"/>
                  </w:divBdr>
                </w:div>
              </w:divsChild>
            </w:div>
            <w:div w:id="398021586">
              <w:marLeft w:val="0"/>
              <w:marRight w:val="0"/>
              <w:marTop w:val="0"/>
              <w:marBottom w:val="0"/>
              <w:divBdr>
                <w:top w:val="none" w:sz="0" w:space="0" w:color="auto"/>
                <w:left w:val="none" w:sz="0" w:space="0" w:color="auto"/>
                <w:bottom w:val="none" w:sz="0" w:space="0" w:color="auto"/>
                <w:right w:val="none" w:sz="0" w:space="0" w:color="auto"/>
              </w:divBdr>
              <w:divsChild>
                <w:div w:id="1126579932">
                  <w:marLeft w:val="0"/>
                  <w:marRight w:val="0"/>
                  <w:marTop w:val="0"/>
                  <w:marBottom w:val="0"/>
                  <w:divBdr>
                    <w:top w:val="none" w:sz="0" w:space="0" w:color="auto"/>
                    <w:left w:val="none" w:sz="0" w:space="0" w:color="auto"/>
                    <w:bottom w:val="none" w:sz="0" w:space="0" w:color="auto"/>
                    <w:right w:val="none" w:sz="0" w:space="0" w:color="auto"/>
                  </w:divBdr>
                </w:div>
                <w:div w:id="533621391">
                  <w:marLeft w:val="0"/>
                  <w:marRight w:val="0"/>
                  <w:marTop w:val="0"/>
                  <w:marBottom w:val="0"/>
                  <w:divBdr>
                    <w:top w:val="none" w:sz="0" w:space="0" w:color="auto"/>
                    <w:left w:val="none" w:sz="0" w:space="0" w:color="auto"/>
                    <w:bottom w:val="none" w:sz="0" w:space="0" w:color="auto"/>
                    <w:right w:val="none" w:sz="0" w:space="0" w:color="auto"/>
                  </w:divBdr>
                  <w:divsChild>
                    <w:div w:id="53152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630914">
      <w:bodyDiv w:val="1"/>
      <w:marLeft w:val="0"/>
      <w:marRight w:val="0"/>
      <w:marTop w:val="0"/>
      <w:marBottom w:val="0"/>
      <w:divBdr>
        <w:top w:val="none" w:sz="0" w:space="0" w:color="auto"/>
        <w:left w:val="none" w:sz="0" w:space="0" w:color="auto"/>
        <w:bottom w:val="none" w:sz="0" w:space="0" w:color="auto"/>
        <w:right w:val="none" w:sz="0" w:space="0" w:color="auto"/>
      </w:divBdr>
    </w:div>
    <w:div w:id="1284769251">
      <w:bodyDiv w:val="1"/>
      <w:marLeft w:val="0"/>
      <w:marRight w:val="0"/>
      <w:marTop w:val="0"/>
      <w:marBottom w:val="0"/>
      <w:divBdr>
        <w:top w:val="none" w:sz="0" w:space="0" w:color="auto"/>
        <w:left w:val="none" w:sz="0" w:space="0" w:color="auto"/>
        <w:bottom w:val="none" w:sz="0" w:space="0" w:color="auto"/>
        <w:right w:val="none" w:sz="0" w:space="0" w:color="auto"/>
      </w:divBdr>
      <w:divsChild>
        <w:div w:id="1697193022">
          <w:marLeft w:val="0"/>
          <w:marRight w:val="0"/>
          <w:marTop w:val="0"/>
          <w:marBottom w:val="0"/>
          <w:divBdr>
            <w:top w:val="none" w:sz="0" w:space="0" w:color="auto"/>
            <w:left w:val="none" w:sz="0" w:space="0" w:color="auto"/>
            <w:bottom w:val="none" w:sz="0" w:space="0" w:color="auto"/>
            <w:right w:val="none" w:sz="0" w:space="0" w:color="auto"/>
          </w:divBdr>
          <w:divsChild>
            <w:div w:id="230847228">
              <w:marLeft w:val="0"/>
              <w:marRight w:val="0"/>
              <w:marTop w:val="0"/>
              <w:marBottom w:val="0"/>
              <w:divBdr>
                <w:top w:val="none" w:sz="0" w:space="0" w:color="auto"/>
                <w:left w:val="none" w:sz="0" w:space="0" w:color="auto"/>
                <w:bottom w:val="none" w:sz="0" w:space="0" w:color="auto"/>
                <w:right w:val="none" w:sz="0" w:space="0" w:color="auto"/>
              </w:divBdr>
              <w:divsChild>
                <w:div w:id="425884861">
                  <w:marLeft w:val="0"/>
                  <w:marRight w:val="0"/>
                  <w:marTop w:val="0"/>
                  <w:marBottom w:val="0"/>
                  <w:divBdr>
                    <w:top w:val="none" w:sz="0" w:space="0" w:color="auto"/>
                    <w:left w:val="none" w:sz="0" w:space="0" w:color="auto"/>
                    <w:bottom w:val="none" w:sz="0" w:space="0" w:color="auto"/>
                    <w:right w:val="none" w:sz="0" w:space="0" w:color="auto"/>
                  </w:divBdr>
                  <w:divsChild>
                    <w:div w:id="77509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044107">
          <w:marLeft w:val="0"/>
          <w:marRight w:val="0"/>
          <w:marTop w:val="0"/>
          <w:marBottom w:val="0"/>
          <w:divBdr>
            <w:top w:val="none" w:sz="0" w:space="0" w:color="auto"/>
            <w:left w:val="none" w:sz="0" w:space="0" w:color="auto"/>
            <w:bottom w:val="none" w:sz="0" w:space="0" w:color="auto"/>
            <w:right w:val="none" w:sz="0" w:space="0" w:color="auto"/>
          </w:divBdr>
        </w:div>
        <w:div w:id="324210774">
          <w:marLeft w:val="0"/>
          <w:marRight w:val="0"/>
          <w:marTop w:val="0"/>
          <w:marBottom w:val="0"/>
          <w:divBdr>
            <w:top w:val="none" w:sz="0" w:space="0" w:color="auto"/>
            <w:left w:val="none" w:sz="0" w:space="0" w:color="auto"/>
            <w:bottom w:val="none" w:sz="0" w:space="0" w:color="auto"/>
            <w:right w:val="none" w:sz="0" w:space="0" w:color="auto"/>
          </w:divBdr>
          <w:divsChild>
            <w:div w:id="1396128814">
              <w:marLeft w:val="0"/>
              <w:marRight w:val="0"/>
              <w:marTop w:val="0"/>
              <w:marBottom w:val="0"/>
              <w:divBdr>
                <w:top w:val="none" w:sz="0" w:space="0" w:color="auto"/>
                <w:left w:val="none" w:sz="0" w:space="0" w:color="auto"/>
                <w:bottom w:val="none" w:sz="0" w:space="0" w:color="auto"/>
                <w:right w:val="none" w:sz="0" w:space="0" w:color="auto"/>
              </w:divBdr>
              <w:divsChild>
                <w:div w:id="825363259">
                  <w:marLeft w:val="-300"/>
                  <w:marRight w:val="0"/>
                  <w:marTop w:val="60"/>
                  <w:marBottom w:val="0"/>
                  <w:divBdr>
                    <w:top w:val="none" w:sz="0" w:space="0" w:color="auto"/>
                    <w:left w:val="none" w:sz="0" w:space="0" w:color="auto"/>
                    <w:bottom w:val="none" w:sz="0" w:space="0" w:color="auto"/>
                    <w:right w:val="none" w:sz="0" w:space="0" w:color="auto"/>
                  </w:divBdr>
                </w:div>
              </w:divsChild>
            </w:div>
            <w:div w:id="645361375">
              <w:marLeft w:val="0"/>
              <w:marRight w:val="0"/>
              <w:marTop w:val="0"/>
              <w:marBottom w:val="0"/>
              <w:divBdr>
                <w:top w:val="none" w:sz="0" w:space="0" w:color="auto"/>
                <w:left w:val="none" w:sz="0" w:space="0" w:color="auto"/>
                <w:bottom w:val="none" w:sz="0" w:space="0" w:color="auto"/>
                <w:right w:val="none" w:sz="0" w:space="0" w:color="auto"/>
              </w:divBdr>
              <w:divsChild>
                <w:div w:id="1203128994">
                  <w:marLeft w:val="0"/>
                  <w:marRight w:val="0"/>
                  <w:marTop w:val="0"/>
                  <w:marBottom w:val="0"/>
                  <w:divBdr>
                    <w:top w:val="none" w:sz="0" w:space="0" w:color="auto"/>
                    <w:left w:val="none" w:sz="0" w:space="0" w:color="auto"/>
                    <w:bottom w:val="none" w:sz="0" w:space="0" w:color="auto"/>
                    <w:right w:val="none" w:sz="0" w:space="0" w:color="auto"/>
                  </w:divBdr>
                </w:div>
                <w:div w:id="1270239275">
                  <w:marLeft w:val="0"/>
                  <w:marRight w:val="0"/>
                  <w:marTop w:val="0"/>
                  <w:marBottom w:val="0"/>
                  <w:divBdr>
                    <w:top w:val="none" w:sz="0" w:space="0" w:color="auto"/>
                    <w:left w:val="none" w:sz="0" w:space="0" w:color="auto"/>
                    <w:bottom w:val="none" w:sz="0" w:space="0" w:color="auto"/>
                    <w:right w:val="none" w:sz="0" w:space="0" w:color="auto"/>
                  </w:divBdr>
                  <w:divsChild>
                    <w:div w:id="120313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664512">
      <w:bodyDiv w:val="1"/>
      <w:marLeft w:val="0"/>
      <w:marRight w:val="0"/>
      <w:marTop w:val="0"/>
      <w:marBottom w:val="0"/>
      <w:divBdr>
        <w:top w:val="none" w:sz="0" w:space="0" w:color="auto"/>
        <w:left w:val="none" w:sz="0" w:space="0" w:color="auto"/>
        <w:bottom w:val="none" w:sz="0" w:space="0" w:color="auto"/>
        <w:right w:val="none" w:sz="0" w:space="0" w:color="auto"/>
      </w:divBdr>
      <w:divsChild>
        <w:div w:id="1391541074">
          <w:marLeft w:val="0"/>
          <w:marRight w:val="0"/>
          <w:marTop w:val="0"/>
          <w:marBottom w:val="0"/>
          <w:divBdr>
            <w:top w:val="none" w:sz="0" w:space="0" w:color="auto"/>
            <w:left w:val="none" w:sz="0" w:space="0" w:color="auto"/>
            <w:bottom w:val="none" w:sz="0" w:space="0" w:color="auto"/>
            <w:right w:val="none" w:sz="0" w:space="0" w:color="auto"/>
          </w:divBdr>
          <w:divsChild>
            <w:div w:id="202596181">
              <w:marLeft w:val="0"/>
              <w:marRight w:val="0"/>
              <w:marTop w:val="0"/>
              <w:marBottom w:val="0"/>
              <w:divBdr>
                <w:top w:val="none" w:sz="0" w:space="0" w:color="auto"/>
                <w:left w:val="none" w:sz="0" w:space="0" w:color="auto"/>
                <w:bottom w:val="none" w:sz="0" w:space="0" w:color="auto"/>
                <w:right w:val="none" w:sz="0" w:space="0" w:color="auto"/>
              </w:divBdr>
              <w:divsChild>
                <w:div w:id="766123657">
                  <w:marLeft w:val="0"/>
                  <w:marRight w:val="0"/>
                  <w:marTop w:val="0"/>
                  <w:marBottom w:val="0"/>
                  <w:divBdr>
                    <w:top w:val="none" w:sz="0" w:space="0" w:color="auto"/>
                    <w:left w:val="none" w:sz="0" w:space="0" w:color="auto"/>
                    <w:bottom w:val="none" w:sz="0" w:space="0" w:color="auto"/>
                    <w:right w:val="none" w:sz="0" w:space="0" w:color="auto"/>
                  </w:divBdr>
                  <w:divsChild>
                    <w:div w:id="174830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52854">
          <w:marLeft w:val="0"/>
          <w:marRight w:val="0"/>
          <w:marTop w:val="0"/>
          <w:marBottom w:val="0"/>
          <w:divBdr>
            <w:top w:val="none" w:sz="0" w:space="0" w:color="auto"/>
            <w:left w:val="none" w:sz="0" w:space="0" w:color="auto"/>
            <w:bottom w:val="none" w:sz="0" w:space="0" w:color="auto"/>
            <w:right w:val="none" w:sz="0" w:space="0" w:color="auto"/>
          </w:divBdr>
        </w:div>
        <w:div w:id="1246263590">
          <w:marLeft w:val="0"/>
          <w:marRight w:val="0"/>
          <w:marTop w:val="0"/>
          <w:marBottom w:val="0"/>
          <w:divBdr>
            <w:top w:val="none" w:sz="0" w:space="0" w:color="auto"/>
            <w:left w:val="none" w:sz="0" w:space="0" w:color="auto"/>
            <w:bottom w:val="none" w:sz="0" w:space="0" w:color="auto"/>
            <w:right w:val="none" w:sz="0" w:space="0" w:color="auto"/>
          </w:divBdr>
          <w:divsChild>
            <w:div w:id="1548368598">
              <w:marLeft w:val="0"/>
              <w:marRight w:val="0"/>
              <w:marTop w:val="0"/>
              <w:marBottom w:val="0"/>
              <w:divBdr>
                <w:top w:val="none" w:sz="0" w:space="0" w:color="auto"/>
                <w:left w:val="none" w:sz="0" w:space="0" w:color="auto"/>
                <w:bottom w:val="none" w:sz="0" w:space="0" w:color="auto"/>
                <w:right w:val="none" w:sz="0" w:space="0" w:color="auto"/>
              </w:divBdr>
              <w:divsChild>
                <w:div w:id="1651330156">
                  <w:marLeft w:val="-300"/>
                  <w:marRight w:val="0"/>
                  <w:marTop w:val="60"/>
                  <w:marBottom w:val="0"/>
                  <w:divBdr>
                    <w:top w:val="none" w:sz="0" w:space="0" w:color="auto"/>
                    <w:left w:val="none" w:sz="0" w:space="0" w:color="auto"/>
                    <w:bottom w:val="none" w:sz="0" w:space="0" w:color="auto"/>
                    <w:right w:val="none" w:sz="0" w:space="0" w:color="auto"/>
                  </w:divBdr>
                </w:div>
              </w:divsChild>
            </w:div>
            <w:div w:id="906185295">
              <w:marLeft w:val="0"/>
              <w:marRight w:val="0"/>
              <w:marTop w:val="0"/>
              <w:marBottom w:val="0"/>
              <w:divBdr>
                <w:top w:val="none" w:sz="0" w:space="0" w:color="auto"/>
                <w:left w:val="none" w:sz="0" w:space="0" w:color="auto"/>
                <w:bottom w:val="none" w:sz="0" w:space="0" w:color="auto"/>
                <w:right w:val="none" w:sz="0" w:space="0" w:color="auto"/>
              </w:divBdr>
              <w:divsChild>
                <w:div w:id="898712167">
                  <w:marLeft w:val="0"/>
                  <w:marRight w:val="0"/>
                  <w:marTop w:val="0"/>
                  <w:marBottom w:val="0"/>
                  <w:divBdr>
                    <w:top w:val="none" w:sz="0" w:space="0" w:color="auto"/>
                    <w:left w:val="none" w:sz="0" w:space="0" w:color="auto"/>
                    <w:bottom w:val="none" w:sz="0" w:space="0" w:color="auto"/>
                    <w:right w:val="none" w:sz="0" w:space="0" w:color="auto"/>
                  </w:divBdr>
                </w:div>
                <w:div w:id="357437983">
                  <w:marLeft w:val="0"/>
                  <w:marRight w:val="0"/>
                  <w:marTop w:val="0"/>
                  <w:marBottom w:val="0"/>
                  <w:divBdr>
                    <w:top w:val="none" w:sz="0" w:space="0" w:color="auto"/>
                    <w:left w:val="none" w:sz="0" w:space="0" w:color="auto"/>
                    <w:bottom w:val="none" w:sz="0" w:space="0" w:color="auto"/>
                    <w:right w:val="none" w:sz="0" w:space="0" w:color="auto"/>
                  </w:divBdr>
                  <w:divsChild>
                    <w:div w:id="210903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771884">
      <w:bodyDiv w:val="1"/>
      <w:marLeft w:val="0"/>
      <w:marRight w:val="0"/>
      <w:marTop w:val="0"/>
      <w:marBottom w:val="0"/>
      <w:divBdr>
        <w:top w:val="none" w:sz="0" w:space="0" w:color="auto"/>
        <w:left w:val="none" w:sz="0" w:space="0" w:color="auto"/>
        <w:bottom w:val="none" w:sz="0" w:space="0" w:color="auto"/>
        <w:right w:val="none" w:sz="0" w:space="0" w:color="auto"/>
      </w:divBdr>
      <w:divsChild>
        <w:div w:id="1398939105">
          <w:marLeft w:val="0"/>
          <w:marRight w:val="0"/>
          <w:marTop w:val="0"/>
          <w:marBottom w:val="0"/>
          <w:divBdr>
            <w:top w:val="none" w:sz="0" w:space="0" w:color="auto"/>
            <w:left w:val="none" w:sz="0" w:space="0" w:color="auto"/>
            <w:bottom w:val="none" w:sz="0" w:space="0" w:color="auto"/>
            <w:right w:val="none" w:sz="0" w:space="0" w:color="auto"/>
          </w:divBdr>
          <w:divsChild>
            <w:div w:id="284195000">
              <w:marLeft w:val="0"/>
              <w:marRight w:val="0"/>
              <w:marTop w:val="0"/>
              <w:marBottom w:val="0"/>
              <w:divBdr>
                <w:top w:val="none" w:sz="0" w:space="0" w:color="auto"/>
                <w:left w:val="none" w:sz="0" w:space="0" w:color="auto"/>
                <w:bottom w:val="none" w:sz="0" w:space="0" w:color="auto"/>
                <w:right w:val="none" w:sz="0" w:space="0" w:color="auto"/>
              </w:divBdr>
              <w:divsChild>
                <w:div w:id="641885912">
                  <w:marLeft w:val="0"/>
                  <w:marRight w:val="0"/>
                  <w:marTop w:val="0"/>
                  <w:marBottom w:val="0"/>
                  <w:divBdr>
                    <w:top w:val="none" w:sz="0" w:space="0" w:color="auto"/>
                    <w:left w:val="none" w:sz="0" w:space="0" w:color="auto"/>
                    <w:bottom w:val="none" w:sz="0" w:space="0" w:color="auto"/>
                    <w:right w:val="none" w:sz="0" w:space="0" w:color="auto"/>
                  </w:divBdr>
                  <w:divsChild>
                    <w:div w:id="158514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444531">
          <w:marLeft w:val="0"/>
          <w:marRight w:val="0"/>
          <w:marTop w:val="0"/>
          <w:marBottom w:val="0"/>
          <w:divBdr>
            <w:top w:val="none" w:sz="0" w:space="0" w:color="auto"/>
            <w:left w:val="none" w:sz="0" w:space="0" w:color="auto"/>
            <w:bottom w:val="none" w:sz="0" w:space="0" w:color="auto"/>
            <w:right w:val="none" w:sz="0" w:space="0" w:color="auto"/>
          </w:divBdr>
        </w:div>
        <w:div w:id="31738211">
          <w:marLeft w:val="0"/>
          <w:marRight w:val="0"/>
          <w:marTop w:val="0"/>
          <w:marBottom w:val="0"/>
          <w:divBdr>
            <w:top w:val="none" w:sz="0" w:space="0" w:color="auto"/>
            <w:left w:val="none" w:sz="0" w:space="0" w:color="auto"/>
            <w:bottom w:val="none" w:sz="0" w:space="0" w:color="auto"/>
            <w:right w:val="none" w:sz="0" w:space="0" w:color="auto"/>
          </w:divBdr>
          <w:divsChild>
            <w:div w:id="1149515950">
              <w:marLeft w:val="0"/>
              <w:marRight w:val="0"/>
              <w:marTop w:val="0"/>
              <w:marBottom w:val="0"/>
              <w:divBdr>
                <w:top w:val="none" w:sz="0" w:space="0" w:color="auto"/>
                <w:left w:val="none" w:sz="0" w:space="0" w:color="auto"/>
                <w:bottom w:val="none" w:sz="0" w:space="0" w:color="auto"/>
                <w:right w:val="none" w:sz="0" w:space="0" w:color="auto"/>
              </w:divBdr>
              <w:divsChild>
                <w:div w:id="855272975">
                  <w:marLeft w:val="0"/>
                  <w:marRight w:val="0"/>
                  <w:marTop w:val="0"/>
                  <w:marBottom w:val="0"/>
                  <w:divBdr>
                    <w:top w:val="none" w:sz="0" w:space="0" w:color="auto"/>
                    <w:left w:val="none" w:sz="0" w:space="0" w:color="auto"/>
                    <w:bottom w:val="none" w:sz="0" w:space="0" w:color="auto"/>
                    <w:right w:val="none" w:sz="0" w:space="0" w:color="auto"/>
                  </w:divBdr>
                </w:div>
                <w:div w:id="1106537962">
                  <w:marLeft w:val="0"/>
                  <w:marRight w:val="0"/>
                  <w:marTop w:val="0"/>
                  <w:marBottom w:val="0"/>
                  <w:divBdr>
                    <w:top w:val="none" w:sz="0" w:space="0" w:color="auto"/>
                    <w:left w:val="none" w:sz="0" w:space="0" w:color="auto"/>
                    <w:bottom w:val="none" w:sz="0" w:space="0" w:color="auto"/>
                    <w:right w:val="none" w:sz="0" w:space="0" w:color="auto"/>
                  </w:divBdr>
                  <w:divsChild>
                    <w:div w:id="167780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101030">
      <w:bodyDiv w:val="1"/>
      <w:marLeft w:val="0"/>
      <w:marRight w:val="0"/>
      <w:marTop w:val="0"/>
      <w:marBottom w:val="0"/>
      <w:divBdr>
        <w:top w:val="none" w:sz="0" w:space="0" w:color="auto"/>
        <w:left w:val="none" w:sz="0" w:space="0" w:color="auto"/>
        <w:bottom w:val="none" w:sz="0" w:space="0" w:color="auto"/>
        <w:right w:val="none" w:sz="0" w:space="0" w:color="auto"/>
      </w:divBdr>
      <w:divsChild>
        <w:div w:id="1482889616">
          <w:marLeft w:val="0"/>
          <w:marRight w:val="0"/>
          <w:marTop w:val="0"/>
          <w:marBottom w:val="0"/>
          <w:divBdr>
            <w:top w:val="none" w:sz="0" w:space="0" w:color="auto"/>
            <w:left w:val="none" w:sz="0" w:space="0" w:color="auto"/>
            <w:bottom w:val="none" w:sz="0" w:space="0" w:color="auto"/>
            <w:right w:val="none" w:sz="0" w:space="0" w:color="auto"/>
          </w:divBdr>
          <w:divsChild>
            <w:div w:id="1035421973">
              <w:marLeft w:val="0"/>
              <w:marRight w:val="0"/>
              <w:marTop w:val="0"/>
              <w:marBottom w:val="0"/>
              <w:divBdr>
                <w:top w:val="none" w:sz="0" w:space="0" w:color="auto"/>
                <w:left w:val="none" w:sz="0" w:space="0" w:color="auto"/>
                <w:bottom w:val="none" w:sz="0" w:space="0" w:color="auto"/>
                <w:right w:val="none" w:sz="0" w:space="0" w:color="auto"/>
              </w:divBdr>
              <w:divsChild>
                <w:div w:id="324751674">
                  <w:marLeft w:val="0"/>
                  <w:marRight w:val="0"/>
                  <w:marTop w:val="0"/>
                  <w:marBottom w:val="0"/>
                  <w:divBdr>
                    <w:top w:val="none" w:sz="0" w:space="0" w:color="auto"/>
                    <w:left w:val="none" w:sz="0" w:space="0" w:color="auto"/>
                    <w:bottom w:val="none" w:sz="0" w:space="0" w:color="auto"/>
                    <w:right w:val="none" w:sz="0" w:space="0" w:color="auto"/>
                  </w:divBdr>
                  <w:divsChild>
                    <w:div w:id="135299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356949">
          <w:marLeft w:val="0"/>
          <w:marRight w:val="0"/>
          <w:marTop w:val="0"/>
          <w:marBottom w:val="0"/>
          <w:divBdr>
            <w:top w:val="none" w:sz="0" w:space="0" w:color="auto"/>
            <w:left w:val="none" w:sz="0" w:space="0" w:color="auto"/>
            <w:bottom w:val="none" w:sz="0" w:space="0" w:color="auto"/>
            <w:right w:val="none" w:sz="0" w:space="0" w:color="auto"/>
          </w:divBdr>
        </w:div>
        <w:div w:id="2029600402">
          <w:marLeft w:val="0"/>
          <w:marRight w:val="0"/>
          <w:marTop w:val="0"/>
          <w:marBottom w:val="0"/>
          <w:divBdr>
            <w:top w:val="none" w:sz="0" w:space="0" w:color="auto"/>
            <w:left w:val="none" w:sz="0" w:space="0" w:color="auto"/>
            <w:bottom w:val="none" w:sz="0" w:space="0" w:color="auto"/>
            <w:right w:val="none" w:sz="0" w:space="0" w:color="auto"/>
          </w:divBdr>
          <w:divsChild>
            <w:div w:id="1947691415">
              <w:marLeft w:val="0"/>
              <w:marRight w:val="0"/>
              <w:marTop w:val="0"/>
              <w:marBottom w:val="0"/>
              <w:divBdr>
                <w:top w:val="none" w:sz="0" w:space="0" w:color="auto"/>
                <w:left w:val="none" w:sz="0" w:space="0" w:color="auto"/>
                <w:bottom w:val="none" w:sz="0" w:space="0" w:color="auto"/>
                <w:right w:val="none" w:sz="0" w:space="0" w:color="auto"/>
              </w:divBdr>
              <w:divsChild>
                <w:div w:id="1287157323">
                  <w:marLeft w:val="0"/>
                  <w:marRight w:val="0"/>
                  <w:marTop w:val="0"/>
                  <w:marBottom w:val="0"/>
                  <w:divBdr>
                    <w:top w:val="none" w:sz="0" w:space="0" w:color="auto"/>
                    <w:left w:val="none" w:sz="0" w:space="0" w:color="auto"/>
                    <w:bottom w:val="none" w:sz="0" w:space="0" w:color="auto"/>
                    <w:right w:val="none" w:sz="0" w:space="0" w:color="auto"/>
                  </w:divBdr>
                </w:div>
                <w:div w:id="421266972">
                  <w:marLeft w:val="0"/>
                  <w:marRight w:val="0"/>
                  <w:marTop w:val="0"/>
                  <w:marBottom w:val="0"/>
                  <w:divBdr>
                    <w:top w:val="none" w:sz="0" w:space="0" w:color="auto"/>
                    <w:left w:val="none" w:sz="0" w:space="0" w:color="auto"/>
                    <w:bottom w:val="none" w:sz="0" w:space="0" w:color="auto"/>
                    <w:right w:val="none" w:sz="0" w:space="0" w:color="auto"/>
                  </w:divBdr>
                  <w:divsChild>
                    <w:div w:id="146755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ris.de/r3/document/KARE600056788/format/xsl/part/L/anchor/rd_45?oi=XzCx9U4kgA&amp;sourceP=%7B%22source%22%3A%22Link%22%7D"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juris.de/r3/document/KARE600056788/format/xsl/part/K?oi=XzCx9U4kgA&amp;sourceP=%7B%22source%22%3A%22Link%22%7D" TargetMode="External"/><Relationship Id="rId12" Type="http://schemas.openxmlformats.org/officeDocument/2006/relationships/hyperlink" Target="http://www.drgaupp.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enn@drgaupp.d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juris.de/r3/document/BJNR001950896BJNE259801377/format/xsl/part/S?oi=XzCx9U4kgA&amp;sourceP=%7B%22source%22%3A%22Link%22%7D" TargetMode="External"/><Relationship Id="rId4" Type="http://schemas.openxmlformats.org/officeDocument/2006/relationships/webSettings" Target="webSettings.xml"/><Relationship Id="rId9" Type="http://schemas.openxmlformats.org/officeDocument/2006/relationships/hyperlink" Target="https://www.juris.de/r3/document/BJNR005330950BJNE033902301/format/xsl/part/S?oi=XzCx9U4kgA&amp;sourceP=%7B%22source%22%3A%22Link%22%7D" TargetMode="Externa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1609</Words>
  <Characters>10137</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Pfeiffer</dc:creator>
  <cp:keywords/>
  <dc:description/>
  <cp:lastModifiedBy>Michelle Hawkins</cp:lastModifiedBy>
  <cp:revision>4</cp:revision>
  <dcterms:created xsi:type="dcterms:W3CDTF">2019-11-12T14:24:00Z</dcterms:created>
  <dcterms:modified xsi:type="dcterms:W3CDTF">2019-12-04T10:30:00Z</dcterms:modified>
</cp:coreProperties>
</file>