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09" w:rsidRPr="0076785E" w:rsidRDefault="00927B09" w:rsidP="00927B09">
      <w:pPr>
        <w:tabs>
          <w:tab w:val="center" w:pos="4536"/>
          <w:tab w:val="right" w:pos="9072"/>
        </w:tabs>
        <w:jc w:val="right"/>
        <w:rPr>
          <w:rFonts w:ascii="Arial" w:eastAsia="Times New Roman" w:hAnsi="Arial" w:cs="Arial"/>
        </w:rPr>
      </w:pPr>
      <w:r w:rsidRPr="0076785E">
        <w:rPr>
          <w:rFonts w:ascii="Arial" w:eastAsia="Times New Roman" w:hAnsi="Arial" w:cs="Arial"/>
          <w:b/>
          <w:bCs/>
          <w:sz w:val="40"/>
          <w:szCs w:val="40"/>
        </w:rPr>
        <w:t>DASV</w:t>
      </w:r>
    </w:p>
    <w:p w:rsidR="00927B09" w:rsidRPr="0076785E" w:rsidRDefault="00927B09" w:rsidP="00927B09">
      <w:pPr>
        <w:jc w:val="right"/>
        <w:rPr>
          <w:rFonts w:ascii="Arial" w:eastAsia="Times New Roman" w:hAnsi="Arial" w:cs="Arial"/>
          <w:sz w:val="20"/>
          <w:szCs w:val="20"/>
        </w:rPr>
      </w:pPr>
      <w:bookmarkStart w:id="0" w:name="2"/>
      <w:bookmarkStart w:id="1" w:name="9"/>
      <w:bookmarkEnd w:id="0"/>
      <w:bookmarkEnd w:id="1"/>
      <w:r w:rsidRPr="0076785E">
        <w:rPr>
          <w:rFonts w:ascii="Arial" w:eastAsia="Times New Roman" w:hAnsi="Arial" w:cs="Arial"/>
          <w:sz w:val="20"/>
          <w:szCs w:val="20"/>
        </w:rPr>
        <w:t>Deutsche Anwalts- und</w:t>
      </w:r>
    </w:p>
    <w:p w:rsidR="00927B09" w:rsidRPr="0076785E" w:rsidRDefault="00927B09" w:rsidP="00927B09">
      <w:pPr>
        <w:jc w:val="right"/>
        <w:rPr>
          <w:rFonts w:ascii="Arial" w:eastAsia="Times New Roman" w:hAnsi="Arial" w:cs="Arial"/>
          <w:sz w:val="20"/>
          <w:szCs w:val="20"/>
        </w:rPr>
      </w:pPr>
      <w:r w:rsidRPr="0076785E">
        <w:rPr>
          <w:rFonts w:ascii="Arial" w:eastAsia="Times New Roman" w:hAnsi="Arial" w:cs="Arial"/>
          <w:sz w:val="20"/>
          <w:szCs w:val="20"/>
        </w:rPr>
        <w:t>Steuerberatervereinigung</w:t>
      </w:r>
    </w:p>
    <w:p w:rsidR="00927B09" w:rsidRPr="0076785E" w:rsidRDefault="00927B09" w:rsidP="00927B09">
      <w:pPr>
        <w:jc w:val="right"/>
        <w:rPr>
          <w:rFonts w:ascii="Arial" w:eastAsia="Times New Roman" w:hAnsi="Arial" w:cs="Arial"/>
          <w:sz w:val="20"/>
          <w:szCs w:val="20"/>
        </w:rPr>
      </w:pPr>
      <w:r w:rsidRPr="0076785E">
        <w:rPr>
          <w:rFonts w:ascii="Arial" w:eastAsia="Times New Roman" w:hAnsi="Arial" w:cs="Arial"/>
          <w:sz w:val="20"/>
          <w:szCs w:val="20"/>
        </w:rPr>
        <w:t>für die mittelständische</w:t>
      </w:r>
    </w:p>
    <w:p w:rsidR="00927B09" w:rsidRPr="0076785E" w:rsidRDefault="00927B09" w:rsidP="00927B09">
      <w:pPr>
        <w:spacing w:line="360" w:lineRule="auto"/>
        <w:jc w:val="right"/>
        <w:rPr>
          <w:rFonts w:ascii="Arial" w:eastAsia="Times New Roman" w:hAnsi="Arial" w:cs="Arial"/>
          <w:sz w:val="20"/>
          <w:szCs w:val="20"/>
        </w:rPr>
      </w:pPr>
      <w:r w:rsidRPr="0076785E">
        <w:rPr>
          <w:rFonts w:ascii="Arial" w:eastAsia="Times New Roman" w:hAnsi="Arial" w:cs="Arial"/>
          <w:sz w:val="20"/>
          <w:szCs w:val="20"/>
        </w:rPr>
        <w:t>Wirtschaft e. V.</w:t>
      </w:r>
    </w:p>
    <w:p w:rsidR="00927B09" w:rsidRPr="0076785E" w:rsidRDefault="00927B09" w:rsidP="00927B09">
      <w:pPr>
        <w:jc w:val="center"/>
        <w:rPr>
          <w:rFonts w:ascii="Arial" w:eastAsia="Times New Roman" w:hAnsi="Arial" w:cs="Arial"/>
          <w:b/>
          <w:bCs/>
          <w:sz w:val="20"/>
          <w:szCs w:val="20"/>
        </w:rPr>
      </w:pPr>
    </w:p>
    <w:p w:rsidR="00927B09" w:rsidRPr="0076785E" w:rsidRDefault="00927B09" w:rsidP="00927B09">
      <w:pPr>
        <w:jc w:val="center"/>
        <w:rPr>
          <w:rFonts w:ascii="Arial" w:eastAsia="Times New Roman" w:hAnsi="Arial" w:cs="Arial"/>
          <w:b/>
          <w:bCs/>
          <w:sz w:val="20"/>
          <w:szCs w:val="20"/>
        </w:rPr>
      </w:pPr>
      <w:r w:rsidRPr="0076785E">
        <w:rPr>
          <w:rFonts w:ascii="Arial" w:eastAsia="Times New Roman" w:hAnsi="Arial" w:cs="Arial"/>
          <w:b/>
          <w:bCs/>
          <w:sz w:val="20"/>
          <w:szCs w:val="20"/>
        </w:rPr>
        <w:t>10 Urteile, die Ihre Leser interessieren könnten</w:t>
      </w:r>
    </w:p>
    <w:p w:rsidR="00927B09" w:rsidRPr="0076785E" w:rsidRDefault="00927B09" w:rsidP="00927B09">
      <w:pPr>
        <w:jc w:val="both"/>
        <w:rPr>
          <w:rFonts w:ascii="Arial" w:eastAsia="Times New Roman" w:hAnsi="Arial" w:cs="Arial"/>
          <w:bCs/>
          <w:sz w:val="20"/>
          <w:szCs w:val="20"/>
        </w:rPr>
      </w:pPr>
    </w:p>
    <w:p w:rsidR="00927B09" w:rsidRPr="0076785E" w:rsidRDefault="00927B09" w:rsidP="00927B09">
      <w:pPr>
        <w:jc w:val="center"/>
        <w:rPr>
          <w:rFonts w:ascii="Arial" w:eastAsia="Times New Roman" w:hAnsi="Arial" w:cs="Arial"/>
          <w:sz w:val="20"/>
          <w:szCs w:val="20"/>
        </w:rPr>
      </w:pPr>
      <w:r w:rsidRPr="0076785E">
        <w:rPr>
          <w:rFonts w:ascii="Arial" w:eastAsia="Times New Roman" w:hAnsi="Arial" w:cs="Arial"/>
          <w:sz w:val="20"/>
          <w:szCs w:val="20"/>
        </w:rPr>
        <w:t>zusammengestellt von Rechtsanwalt/Fachanwalt für Arbeitsrecht u. Fachanwalt für Erbrecht</w:t>
      </w:r>
    </w:p>
    <w:p w:rsidR="00927B09" w:rsidRPr="0076785E" w:rsidRDefault="00927B09" w:rsidP="00927B09">
      <w:pPr>
        <w:ind w:right="540"/>
        <w:jc w:val="center"/>
        <w:rPr>
          <w:rFonts w:ascii="Arial" w:eastAsia="Times New Roman" w:hAnsi="Arial" w:cs="Arial"/>
          <w:bCs/>
          <w:sz w:val="20"/>
          <w:szCs w:val="20"/>
        </w:rPr>
      </w:pPr>
      <w:r w:rsidRPr="0076785E">
        <w:rPr>
          <w:rFonts w:ascii="Arial" w:eastAsia="Times New Roman" w:hAnsi="Arial" w:cs="Arial"/>
          <w:bCs/>
          <w:sz w:val="20"/>
          <w:szCs w:val="20"/>
        </w:rPr>
        <w:t>Michael Henn, Stuttgart</w:t>
      </w:r>
    </w:p>
    <w:p w:rsidR="00DE2F90" w:rsidRDefault="00DE2F90">
      <w:pPr>
        <w:rPr>
          <w:rFonts w:ascii="Arial" w:hAnsi="Arial" w:cs="Arial"/>
          <w:sz w:val="20"/>
          <w:szCs w:val="20"/>
        </w:rPr>
      </w:pPr>
    </w:p>
    <w:p w:rsidR="00927B09" w:rsidRDefault="00927B09" w:rsidP="00927B09">
      <w:pPr>
        <w:jc w:val="center"/>
        <w:rPr>
          <w:rFonts w:ascii="Arial" w:hAnsi="Arial" w:cs="Arial"/>
          <w:b/>
          <w:sz w:val="20"/>
          <w:szCs w:val="20"/>
        </w:rPr>
      </w:pPr>
      <w:r w:rsidRPr="00927B09">
        <w:rPr>
          <w:rFonts w:ascii="Arial" w:hAnsi="Arial" w:cs="Arial"/>
          <w:b/>
          <w:sz w:val="20"/>
          <w:szCs w:val="20"/>
        </w:rPr>
        <w:t>I.</w:t>
      </w:r>
    </w:p>
    <w:p w:rsidR="00927B09" w:rsidRPr="00927B09" w:rsidRDefault="00927B09" w:rsidP="00927B09">
      <w:pPr>
        <w:jc w:val="center"/>
        <w:rPr>
          <w:rFonts w:ascii="Arial" w:hAnsi="Arial" w:cs="Arial"/>
          <w:b/>
          <w:bCs/>
          <w:sz w:val="20"/>
          <w:szCs w:val="20"/>
        </w:rPr>
      </w:pPr>
      <w:r w:rsidRPr="00927B09">
        <w:rPr>
          <w:rFonts w:ascii="Arial" w:hAnsi="Arial" w:cs="Arial"/>
          <w:b/>
          <w:bCs/>
          <w:sz w:val="20"/>
          <w:szCs w:val="20"/>
        </w:rPr>
        <w:t xml:space="preserve">Gesellschafter-Geschäftsführer als arbeitnehmerähnliche Person </w:t>
      </w:r>
    </w:p>
    <w:p w:rsidR="00927B09" w:rsidRPr="00927B09" w:rsidRDefault="00927B09" w:rsidP="00927B09">
      <w:pPr>
        <w:jc w:val="center"/>
        <w:rPr>
          <w:rFonts w:ascii="Arial" w:hAnsi="Arial" w:cs="Arial"/>
          <w:sz w:val="20"/>
          <w:szCs w:val="20"/>
        </w:rPr>
      </w:pPr>
      <w:r w:rsidRPr="00927B09">
        <w:rPr>
          <w:rFonts w:ascii="Arial" w:hAnsi="Arial" w:cs="Arial"/>
          <w:sz w:val="20"/>
          <w:szCs w:val="20"/>
        </w:rPr>
        <w:t>BGH, Urteil vom 01.10.2019, Az. II ZR 386/17</w:t>
      </w:r>
    </w:p>
    <w:p w:rsidR="00927B09" w:rsidRPr="00927B09" w:rsidRDefault="00927B09" w:rsidP="00927B09">
      <w:pPr>
        <w:jc w:val="center"/>
        <w:rPr>
          <w:rFonts w:ascii="Arial" w:hAnsi="Arial" w:cs="Arial"/>
          <w:b/>
          <w:sz w:val="20"/>
          <w:szCs w:val="20"/>
        </w:rPr>
      </w:pPr>
    </w:p>
    <w:p w:rsidR="000C2827" w:rsidRDefault="000C2827" w:rsidP="00927B09">
      <w:pPr>
        <w:jc w:val="both"/>
        <w:rPr>
          <w:rFonts w:ascii="Arial" w:hAnsi="Arial" w:cs="Arial"/>
          <w:sz w:val="21"/>
          <w:szCs w:val="21"/>
        </w:rPr>
      </w:pPr>
      <w:r>
        <w:rPr>
          <w:rFonts w:ascii="Arial" w:hAnsi="Arial" w:cs="Arial"/>
          <w:sz w:val="21"/>
          <w:szCs w:val="21"/>
        </w:rPr>
        <w:t>Ein Gesellschafter-Geschäftsführer einer Gesellschaft mit beschränkter Haftung, der mit einem oder mehreren anderen Gesellschafter-Geschäftsführern 50 % der Geschäftsanteile hält und selbst nicht mit einem nur unbedeutenden Geschäftsanteil an der Gesellschaft beteiligt ist, ist keine arbeitnehmerähnliche Person im Sinne des § 17 Abs. 1 Satz 2 BetrAVG .</w:t>
      </w:r>
    </w:p>
    <w:p w:rsidR="000C2827" w:rsidRDefault="000C2827" w:rsidP="000C2827">
      <w:pPr>
        <w:rPr>
          <w:rFonts w:ascii="Arial" w:hAnsi="Arial" w:cs="Arial"/>
          <w:sz w:val="21"/>
          <w:szCs w:val="21"/>
        </w:rPr>
      </w:pPr>
    </w:p>
    <w:p w:rsidR="00927B09" w:rsidRDefault="00927B09" w:rsidP="00927B09">
      <w:pPr>
        <w:jc w:val="center"/>
        <w:rPr>
          <w:rFonts w:ascii="Arial" w:hAnsi="Arial" w:cs="Arial"/>
          <w:b/>
          <w:sz w:val="21"/>
          <w:szCs w:val="21"/>
        </w:rPr>
      </w:pPr>
      <w:r w:rsidRPr="00927B09">
        <w:rPr>
          <w:rFonts w:ascii="Arial" w:hAnsi="Arial" w:cs="Arial"/>
          <w:b/>
          <w:sz w:val="21"/>
          <w:szCs w:val="21"/>
        </w:rPr>
        <w:t>II.</w:t>
      </w:r>
    </w:p>
    <w:p w:rsidR="00927B09" w:rsidRPr="00927B09" w:rsidRDefault="00927B09" w:rsidP="00927B09">
      <w:pPr>
        <w:jc w:val="center"/>
        <w:rPr>
          <w:rFonts w:ascii="Arial" w:hAnsi="Arial" w:cs="Arial"/>
          <w:b/>
          <w:bCs/>
          <w:sz w:val="20"/>
          <w:szCs w:val="21"/>
        </w:rPr>
      </w:pPr>
      <w:r w:rsidRPr="00927B09">
        <w:rPr>
          <w:rFonts w:ascii="Arial" w:hAnsi="Arial" w:cs="Arial"/>
          <w:b/>
          <w:bCs/>
          <w:sz w:val="20"/>
          <w:szCs w:val="21"/>
        </w:rPr>
        <w:t xml:space="preserve">Klausel zur Kündigungsfrist für Pferdepensionsvertrag </w:t>
      </w:r>
    </w:p>
    <w:p w:rsidR="00927B09" w:rsidRPr="00927B09" w:rsidRDefault="00927B09" w:rsidP="00927B09">
      <w:pPr>
        <w:jc w:val="center"/>
        <w:rPr>
          <w:rFonts w:ascii="Arial" w:hAnsi="Arial" w:cs="Arial"/>
          <w:sz w:val="20"/>
          <w:szCs w:val="21"/>
        </w:rPr>
      </w:pPr>
      <w:r w:rsidRPr="00927B09">
        <w:rPr>
          <w:rFonts w:ascii="Arial" w:hAnsi="Arial" w:cs="Arial"/>
          <w:sz w:val="20"/>
          <w:szCs w:val="21"/>
        </w:rPr>
        <w:t>BGH, Urteil vom 02.10.2019, Az. XII ZR 8/19</w:t>
      </w:r>
    </w:p>
    <w:p w:rsidR="00927B09" w:rsidRPr="00927B09" w:rsidRDefault="00927B09" w:rsidP="00927B09">
      <w:pPr>
        <w:jc w:val="center"/>
        <w:rPr>
          <w:rFonts w:ascii="Arial" w:hAnsi="Arial" w:cs="Arial"/>
          <w:b/>
          <w:sz w:val="21"/>
          <w:szCs w:val="21"/>
        </w:rPr>
      </w:pPr>
    </w:p>
    <w:p w:rsidR="000C2827" w:rsidRDefault="000C2827" w:rsidP="00927B09">
      <w:pPr>
        <w:jc w:val="both"/>
        <w:rPr>
          <w:rFonts w:ascii="Arial" w:hAnsi="Arial" w:cs="Arial"/>
          <w:sz w:val="21"/>
          <w:szCs w:val="21"/>
        </w:rPr>
      </w:pPr>
      <w:r>
        <w:rPr>
          <w:rFonts w:ascii="Arial" w:hAnsi="Arial" w:cs="Arial"/>
          <w:sz w:val="21"/>
          <w:szCs w:val="21"/>
        </w:rPr>
        <w:t>In einem sogenannten Pferdepensionsvertrag hält eine vorformulierte Vertragsbestimmung, die eine beiderseitige Kündigungsfrist von acht Wochen zum Monatsende vorsieht, grundsätzlich der AGB-rechtlichen Inhaltskontrolle nach § 307 Abs. 1 und Abs. 2 Nr. 1 BGB stand.</w:t>
      </w:r>
    </w:p>
    <w:p w:rsidR="00D97963" w:rsidRDefault="00D97963" w:rsidP="00927B09">
      <w:pPr>
        <w:jc w:val="both"/>
        <w:rPr>
          <w:rFonts w:ascii="Arial" w:hAnsi="Arial" w:cs="Arial"/>
          <w:sz w:val="21"/>
          <w:szCs w:val="21"/>
        </w:rPr>
      </w:pPr>
    </w:p>
    <w:p w:rsidR="00927B09" w:rsidRDefault="00927B09" w:rsidP="00927B09">
      <w:pPr>
        <w:jc w:val="center"/>
        <w:rPr>
          <w:rFonts w:ascii="Arial" w:hAnsi="Arial" w:cs="Arial"/>
          <w:b/>
          <w:sz w:val="21"/>
          <w:szCs w:val="21"/>
        </w:rPr>
      </w:pPr>
      <w:r w:rsidRPr="00927B09">
        <w:rPr>
          <w:rFonts w:ascii="Arial" w:hAnsi="Arial" w:cs="Arial"/>
          <w:b/>
          <w:sz w:val="21"/>
          <w:szCs w:val="21"/>
        </w:rPr>
        <w:t>III.</w:t>
      </w:r>
    </w:p>
    <w:p w:rsidR="00927B09" w:rsidRPr="00927B09" w:rsidRDefault="00927B09" w:rsidP="00927B09">
      <w:pPr>
        <w:jc w:val="center"/>
        <w:rPr>
          <w:rFonts w:ascii="Arial" w:hAnsi="Arial" w:cs="Arial"/>
          <w:b/>
          <w:bCs/>
          <w:sz w:val="20"/>
          <w:szCs w:val="21"/>
        </w:rPr>
      </w:pPr>
      <w:r w:rsidRPr="00927B09">
        <w:rPr>
          <w:rFonts w:ascii="Arial" w:hAnsi="Arial" w:cs="Arial"/>
          <w:b/>
          <w:bCs/>
          <w:sz w:val="20"/>
          <w:szCs w:val="21"/>
        </w:rPr>
        <w:t>Hinweispflicht des Verwalters auf Gewährleistung und Verjährung</w:t>
      </w:r>
    </w:p>
    <w:p w:rsidR="00927B09" w:rsidRPr="00927B09" w:rsidRDefault="00927B09" w:rsidP="00927B09">
      <w:pPr>
        <w:jc w:val="center"/>
        <w:rPr>
          <w:rFonts w:ascii="Arial" w:hAnsi="Arial" w:cs="Arial"/>
          <w:sz w:val="20"/>
          <w:szCs w:val="21"/>
        </w:rPr>
      </w:pPr>
      <w:r w:rsidRPr="00927B09">
        <w:rPr>
          <w:rFonts w:ascii="Arial" w:hAnsi="Arial" w:cs="Arial"/>
          <w:sz w:val="20"/>
          <w:szCs w:val="21"/>
        </w:rPr>
        <w:t>BGH, Urteil vom 19.07.2019, Az. V ZR 75/18</w:t>
      </w:r>
    </w:p>
    <w:p w:rsidR="00927B09" w:rsidRPr="00927B09" w:rsidRDefault="00927B09" w:rsidP="00927B09">
      <w:pPr>
        <w:jc w:val="center"/>
        <w:rPr>
          <w:rFonts w:ascii="Arial" w:hAnsi="Arial" w:cs="Arial"/>
          <w:sz w:val="20"/>
          <w:szCs w:val="21"/>
        </w:rPr>
      </w:pPr>
    </w:p>
    <w:p w:rsidR="00927B09" w:rsidRPr="00927B09" w:rsidRDefault="00D97963" w:rsidP="00927B09">
      <w:pPr>
        <w:pStyle w:val="Listenabsatz"/>
        <w:numPr>
          <w:ilvl w:val="0"/>
          <w:numId w:val="1"/>
        </w:numPr>
        <w:jc w:val="both"/>
      </w:pPr>
      <w:r w:rsidRPr="00E85ED0">
        <w:rPr>
          <w:rFonts w:ascii="Arial" w:hAnsi="Arial" w:cs="Arial"/>
          <w:sz w:val="21"/>
          <w:szCs w:val="21"/>
        </w:rPr>
        <w:t>Der Verwalter muss zur Vorbereitung der Beschlussfassung über Maßnahmen der Instandhaltung und Instandsetzung des Gemeinschaftseigentums die verschiedenen Handlungsoptionen aufzeigen; dabei hat er die Wohnungseigentümer auf mögliche Gewährleistungsansprüche und auf eine drohende Verjährung dieser Ansprüche hinzuweisen.</w:t>
      </w:r>
    </w:p>
    <w:p w:rsidR="00927B09" w:rsidRPr="00927B09" w:rsidRDefault="00D97963" w:rsidP="00927B09">
      <w:pPr>
        <w:pStyle w:val="Listenabsatz"/>
        <w:numPr>
          <w:ilvl w:val="0"/>
          <w:numId w:val="1"/>
        </w:numPr>
        <w:jc w:val="both"/>
      </w:pPr>
      <w:r w:rsidRPr="00E85ED0">
        <w:rPr>
          <w:rFonts w:ascii="Arial" w:hAnsi="Arial" w:cs="Arial"/>
          <w:sz w:val="21"/>
          <w:szCs w:val="21"/>
        </w:rPr>
        <w:t>Den mit dem Bauträger identischen, von ihm eingesetzten, mit ihm verbundenen oder von ihm abhängigen Verwalter (sog. Bauträgerverwalter) treffen die gleichen Pflichten hinsichtlich der Vorbereitung einer sachgerechten Beschlussfassung der Wohnungseigentümer über Maßnahmen der Instandhaltung und Instandsetzung des Gemeinschaftseigentums wie jeden anderen Verwalter; er muss somit auch auf Gewährleistungsansprüche "gegen sich selbst" und eine drohende Verjährung dieser Ansprüche hinweisen.</w:t>
      </w:r>
    </w:p>
    <w:p w:rsidR="00D97963" w:rsidRPr="00927B09" w:rsidRDefault="00D97963" w:rsidP="00927B09">
      <w:pPr>
        <w:pStyle w:val="Listenabsatz"/>
        <w:numPr>
          <w:ilvl w:val="0"/>
          <w:numId w:val="1"/>
        </w:numPr>
        <w:jc w:val="both"/>
      </w:pPr>
      <w:r w:rsidRPr="00E85ED0">
        <w:rPr>
          <w:rFonts w:ascii="Arial" w:hAnsi="Arial" w:cs="Arial"/>
          <w:sz w:val="21"/>
          <w:szCs w:val="21"/>
        </w:rPr>
        <w:t>Hat der Verwalter Anhaltspunkte dafür, dass ein Mangel am Gemeinschaftseigentum entgegen einer Erklärung des Bauträgers nicht beseitigt ist, muss er die Wohnungseigentümer hierüber unterrichten und auf einen sachgerechten Beschluss über das weitere Vorgehen hinwirken.</w:t>
      </w:r>
    </w:p>
    <w:p w:rsidR="00927B09" w:rsidRDefault="00927B09" w:rsidP="00927B09">
      <w:pPr>
        <w:pStyle w:val="Listenabsatz"/>
        <w:ind w:left="0"/>
        <w:jc w:val="both"/>
        <w:rPr>
          <w:rFonts w:ascii="Arial" w:hAnsi="Arial" w:cs="Arial"/>
          <w:sz w:val="20"/>
          <w:szCs w:val="21"/>
        </w:rPr>
      </w:pPr>
    </w:p>
    <w:p w:rsidR="00927B09" w:rsidRDefault="00927B09" w:rsidP="00927B09">
      <w:pPr>
        <w:pStyle w:val="Listenabsatz"/>
        <w:ind w:left="0"/>
        <w:jc w:val="center"/>
        <w:rPr>
          <w:rFonts w:ascii="Arial" w:hAnsi="Arial" w:cs="Arial"/>
          <w:b/>
          <w:sz w:val="20"/>
          <w:szCs w:val="21"/>
        </w:rPr>
      </w:pPr>
      <w:r w:rsidRPr="00927B09">
        <w:rPr>
          <w:rFonts w:ascii="Arial" w:hAnsi="Arial" w:cs="Arial"/>
          <w:b/>
          <w:sz w:val="20"/>
          <w:szCs w:val="21"/>
        </w:rPr>
        <w:t>IV.</w:t>
      </w:r>
    </w:p>
    <w:p w:rsidR="00927B09" w:rsidRPr="00927B09" w:rsidRDefault="00927B09" w:rsidP="00927B09">
      <w:pPr>
        <w:pStyle w:val="Listenabsatz"/>
        <w:ind w:left="0"/>
        <w:jc w:val="center"/>
        <w:rPr>
          <w:rFonts w:ascii="Arial" w:hAnsi="Arial" w:cs="Arial"/>
          <w:b/>
          <w:sz w:val="20"/>
          <w:szCs w:val="21"/>
        </w:rPr>
      </w:pPr>
      <w:r w:rsidRPr="00927B09">
        <w:rPr>
          <w:rFonts w:ascii="Arial" w:hAnsi="Arial" w:cs="Arial"/>
          <w:b/>
          <w:sz w:val="20"/>
          <w:szCs w:val="21"/>
        </w:rPr>
        <w:t>Benachteiligung nach AGG - Entschädigungsverlangen - Rechtsmissbrauch - Ziel der Entschädigung</w:t>
      </w:r>
    </w:p>
    <w:p w:rsidR="00927B09" w:rsidRDefault="00927B09" w:rsidP="00927B09">
      <w:pPr>
        <w:pStyle w:val="Listenabsatz"/>
        <w:ind w:left="0"/>
        <w:jc w:val="center"/>
        <w:rPr>
          <w:rFonts w:ascii="Arial" w:hAnsi="Arial" w:cs="Arial"/>
          <w:sz w:val="20"/>
          <w:szCs w:val="21"/>
        </w:rPr>
      </w:pPr>
      <w:proofErr w:type="spellStart"/>
      <w:r w:rsidRPr="00927B09">
        <w:rPr>
          <w:rFonts w:ascii="Arial" w:hAnsi="Arial" w:cs="Arial"/>
          <w:sz w:val="20"/>
          <w:szCs w:val="21"/>
        </w:rPr>
        <w:t>ArbG</w:t>
      </w:r>
      <w:proofErr w:type="spellEnd"/>
      <w:r w:rsidRPr="00927B09">
        <w:rPr>
          <w:rFonts w:ascii="Arial" w:hAnsi="Arial" w:cs="Arial"/>
          <w:sz w:val="20"/>
          <w:szCs w:val="21"/>
        </w:rPr>
        <w:t xml:space="preserve"> Bonn, Urteil vom 23. Oktober 2019, Az. 5 </w:t>
      </w:r>
      <w:proofErr w:type="spellStart"/>
      <w:r w:rsidRPr="00927B09">
        <w:rPr>
          <w:rFonts w:ascii="Arial" w:hAnsi="Arial" w:cs="Arial"/>
          <w:sz w:val="20"/>
          <w:szCs w:val="21"/>
        </w:rPr>
        <w:t>Ca</w:t>
      </w:r>
      <w:proofErr w:type="spellEnd"/>
      <w:r w:rsidRPr="00927B09">
        <w:rPr>
          <w:rFonts w:ascii="Arial" w:hAnsi="Arial" w:cs="Arial"/>
          <w:sz w:val="20"/>
          <w:szCs w:val="21"/>
        </w:rPr>
        <w:t xml:space="preserve"> 1201/19</w:t>
      </w:r>
    </w:p>
    <w:p w:rsidR="00927B09" w:rsidRDefault="00927B09" w:rsidP="00927B09">
      <w:pPr>
        <w:pStyle w:val="Listenabsatz"/>
        <w:ind w:left="0"/>
        <w:jc w:val="both"/>
        <w:rPr>
          <w:rFonts w:ascii="Arial" w:hAnsi="Arial" w:cs="Arial"/>
          <w:sz w:val="20"/>
          <w:szCs w:val="21"/>
        </w:rPr>
      </w:pPr>
    </w:p>
    <w:p w:rsidR="00927B09" w:rsidRPr="00927B09" w:rsidRDefault="00927B09" w:rsidP="00927B09">
      <w:pPr>
        <w:pStyle w:val="Listenabsatz"/>
        <w:ind w:left="0"/>
        <w:jc w:val="both"/>
        <w:rPr>
          <w:rFonts w:ascii="Arial" w:hAnsi="Arial" w:cs="Arial"/>
          <w:sz w:val="20"/>
          <w:szCs w:val="21"/>
        </w:rPr>
      </w:pPr>
      <w:r w:rsidRPr="00927B09">
        <w:rPr>
          <w:rFonts w:ascii="Arial" w:hAnsi="Arial" w:cs="Arial"/>
          <w:sz w:val="20"/>
          <w:szCs w:val="21"/>
        </w:rPr>
        <w:t xml:space="preserve">1. Ein Bewerber, der Ansprüche wegen einer behaupteten Benachteiligung wegen eines in § 1 AGG genannten Grundes geltend macht, muss zumindest Indizien vortragen, die mit überwiegender Wahrscheinlichkeit darauf schließen lassen, dass eine Benachteiligung wegen eines in § 1 AGG genannten Grundes erfolgt ist (Anschluss an BAG 16. Mai 2019 - 8 AZR 315/18 - </w:t>
      </w:r>
      <w:proofErr w:type="spellStart"/>
      <w:r w:rsidRPr="00927B09">
        <w:rPr>
          <w:rFonts w:ascii="Arial" w:hAnsi="Arial" w:cs="Arial"/>
          <w:sz w:val="20"/>
          <w:szCs w:val="21"/>
        </w:rPr>
        <w:t>Rn</w:t>
      </w:r>
      <w:proofErr w:type="spellEnd"/>
      <w:r w:rsidRPr="00927B09">
        <w:rPr>
          <w:rFonts w:ascii="Arial" w:hAnsi="Arial" w:cs="Arial"/>
          <w:sz w:val="20"/>
          <w:szCs w:val="21"/>
        </w:rPr>
        <w:t>. 15).</w:t>
      </w:r>
    </w:p>
    <w:p w:rsidR="00927B09" w:rsidRPr="00927B09" w:rsidRDefault="00927B09" w:rsidP="00927B09">
      <w:pPr>
        <w:pStyle w:val="Listenabsatz"/>
        <w:ind w:left="0"/>
        <w:jc w:val="both"/>
        <w:rPr>
          <w:rFonts w:ascii="Arial" w:hAnsi="Arial" w:cs="Arial"/>
          <w:sz w:val="20"/>
          <w:szCs w:val="21"/>
        </w:rPr>
      </w:pPr>
      <w:r w:rsidRPr="00927B09">
        <w:rPr>
          <w:rFonts w:ascii="Arial" w:hAnsi="Arial" w:cs="Arial"/>
          <w:sz w:val="20"/>
          <w:szCs w:val="21"/>
        </w:rPr>
        <w:t xml:space="preserve">2. Das Entschädigungsverlangen eines Bewerbers ist rechtsmissbräuchlich, wenn er sich nicht beworben hat, um die ausgeschriebene Stelle zu erhalten, sondern zu dem Zweck, den Status eines Bewerbers </w:t>
      </w:r>
      <w:proofErr w:type="spellStart"/>
      <w:r w:rsidRPr="00927B09">
        <w:rPr>
          <w:rFonts w:ascii="Arial" w:hAnsi="Arial" w:cs="Arial"/>
          <w:sz w:val="20"/>
          <w:szCs w:val="21"/>
        </w:rPr>
        <w:t>iSv</w:t>
      </w:r>
      <w:proofErr w:type="spellEnd"/>
      <w:r w:rsidRPr="00927B09">
        <w:rPr>
          <w:rFonts w:ascii="Arial" w:hAnsi="Arial" w:cs="Arial"/>
          <w:sz w:val="20"/>
          <w:szCs w:val="21"/>
        </w:rPr>
        <w:t xml:space="preserve">. § 6 Abs. 1 Satz 2 AGG zu erlangen mit dem ausschließlichen Ziel, eine Entschädigung geltend zu machen (Anschluss an </w:t>
      </w:r>
      <w:hyperlink r:id="rId7" w:tooltip="BAG 8. Senat, 8 AZR 562/16, Urteil, 25.10.2018, Entschädigung nach dem AGG - objektive Eignung - Benachteiligung wegen der Religion und/oder ..., Langtext vorhanden" w:history="1">
        <w:r w:rsidRPr="00927B09">
          <w:rPr>
            <w:rStyle w:val="Hyperlink"/>
            <w:rFonts w:ascii="Arial" w:hAnsi="Arial" w:cs="Arial"/>
            <w:color w:val="auto"/>
            <w:sz w:val="20"/>
            <w:szCs w:val="21"/>
            <w:u w:val="none"/>
          </w:rPr>
          <w:t>BAG 25. Oktober 2018 - 8 AZR 562/16</w:t>
        </w:r>
      </w:hyperlink>
      <w:r w:rsidRPr="00927B09">
        <w:rPr>
          <w:rFonts w:ascii="Arial" w:hAnsi="Arial" w:cs="Arial"/>
          <w:sz w:val="20"/>
          <w:szCs w:val="21"/>
        </w:rPr>
        <w:t xml:space="preserve"> - </w:t>
      </w:r>
      <w:hyperlink r:id="rId8" w:tooltip="BAG 8. Senat, 8 AZR 562/16, Urteil, 25.10.2018, Entschädigung nach dem AGG - objektive Eignung - Benachteiligung wegen der Religion und/oder ..., Langtext vorhanden" w:history="1">
        <w:proofErr w:type="spellStart"/>
        <w:r w:rsidRPr="00927B09">
          <w:rPr>
            <w:rStyle w:val="Hyperlink"/>
            <w:rFonts w:ascii="Arial" w:hAnsi="Arial" w:cs="Arial"/>
            <w:color w:val="auto"/>
            <w:sz w:val="20"/>
            <w:szCs w:val="21"/>
            <w:u w:val="none"/>
          </w:rPr>
          <w:t>Rn</w:t>
        </w:r>
        <w:proofErr w:type="spellEnd"/>
        <w:r w:rsidRPr="00927B09">
          <w:rPr>
            <w:rStyle w:val="Hyperlink"/>
            <w:rFonts w:ascii="Arial" w:hAnsi="Arial" w:cs="Arial"/>
            <w:color w:val="auto"/>
            <w:sz w:val="20"/>
            <w:szCs w:val="21"/>
            <w:u w:val="none"/>
          </w:rPr>
          <w:t>. 45</w:t>
        </w:r>
      </w:hyperlink>
      <w:r w:rsidRPr="00927B09">
        <w:rPr>
          <w:rFonts w:ascii="Arial" w:hAnsi="Arial" w:cs="Arial"/>
          <w:sz w:val="20"/>
          <w:szCs w:val="21"/>
        </w:rPr>
        <w:t>).</w:t>
      </w:r>
    </w:p>
    <w:p w:rsidR="00927B09" w:rsidRPr="00927B09" w:rsidRDefault="00927B09" w:rsidP="00927B09">
      <w:pPr>
        <w:pStyle w:val="Listenabsatz"/>
        <w:ind w:left="0"/>
        <w:jc w:val="both"/>
        <w:rPr>
          <w:rFonts w:ascii="Arial" w:hAnsi="Arial" w:cs="Arial"/>
          <w:sz w:val="20"/>
          <w:szCs w:val="21"/>
        </w:rPr>
      </w:pPr>
      <w:r w:rsidRPr="00927B09">
        <w:rPr>
          <w:rFonts w:ascii="Arial" w:hAnsi="Arial" w:cs="Arial"/>
          <w:sz w:val="20"/>
          <w:szCs w:val="21"/>
        </w:rPr>
        <w:lastRenderedPageBreak/>
        <w:t>3. Einzelfall zu einer durch die Gestaltung und den Inhalt des Bewerbungsschreibens provozierten Absage.</w:t>
      </w:r>
    </w:p>
    <w:p w:rsidR="00927B09" w:rsidRDefault="00927B09" w:rsidP="00927B09">
      <w:pPr>
        <w:pStyle w:val="Listenabsatz"/>
        <w:ind w:left="0"/>
        <w:jc w:val="both"/>
        <w:rPr>
          <w:rFonts w:ascii="Arial" w:hAnsi="Arial" w:cs="Arial"/>
          <w:sz w:val="20"/>
          <w:szCs w:val="21"/>
        </w:rPr>
      </w:pPr>
    </w:p>
    <w:p w:rsidR="00927B09" w:rsidRDefault="00927B09" w:rsidP="00927B09">
      <w:pPr>
        <w:pStyle w:val="Listenabsatz"/>
        <w:ind w:left="0"/>
        <w:jc w:val="center"/>
        <w:rPr>
          <w:rFonts w:ascii="Arial" w:hAnsi="Arial" w:cs="Arial"/>
          <w:b/>
          <w:sz w:val="20"/>
        </w:rPr>
      </w:pPr>
      <w:r w:rsidRPr="00927B09">
        <w:rPr>
          <w:rFonts w:ascii="Arial" w:hAnsi="Arial" w:cs="Arial"/>
          <w:b/>
          <w:sz w:val="20"/>
        </w:rPr>
        <w:t>V.</w:t>
      </w:r>
    </w:p>
    <w:p w:rsidR="00927B09" w:rsidRPr="00927B09" w:rsidRDefault="00927B09" w:rsidP="00927B09">
      <w:pPr>
        <w:pStyle w:val="Listenabsatz"/>
        <w:ind w:left="0"/>
        <w:jc w:val="center"/>
        <w:rPr>
          <w:rFonts w:ascii="Arial" w:hAnsi="Arial" w:cs="Arial"/>
          <w:b/>
          <w:sz w:val="20"/>
        </w:rPr>
      </w:pPr>
      <w:r w:rsidRPr="00927B09">
        <w:rPr>
          <w:rFonts w:ascii="Arial" w:hAnsi="Arial" w:cs="Arial"/>
          <w:b/>
          <w:sz w:val="20"/>
        </w:rPr>
        <w:t>Schenkungsteuer: Grundstücksschenkung an ein Kind bei anschließender Weiterschenkung als Zuwendung an das Enkelkind</w:t>
      </w:r>
    </w:p>
    <w:p w:rsidR="00927B09" w:rsidRDefault="00927B09" w:rsidP="00927B09">
      <w:pPr>
        <w:pStyle w:val="Listenabsatz"/>
        <w:ind w:left="0"/>
        <w:jc w:val="center"/>
        <w:rPr>
          <w:rFonts w:ascii="Arial" w:hAnsi="Arial" w:cs="Arial"/>
          <w:sz w:val="20"/>
        </w:rPr>
      </w:pPr>
      <w:r w:rsidRPr="00927B09">
        <w:rPr>
          <w:rFonts w:ascii="Arial" w:hAnsi="Arial" w:cs="Arial"/>
          <w:sz w:val="20"/>
        </w:rPr>
        <w:t>FG Hamburg, Urteil vom 20. August 2019</w:t>
      </w:r>
      <w:r>
        <w:rPr>
          <w:rFonts w:ascii="Arial" w:hAnsi="Arial" w:cs="Arial"/>
          <w:sz w:val="20"/>
        </w:rPr>
        <w:t>, 3 K 123/18</w:t>
      </w:r>
    </w:p>
    <w:p w:rsidR="00927B09" w:rsidRDefault="00927B09" w:rsidP="00927B09">
      <w:pPr>
        <w:pStyle w:val="Listenabsatz"/>
        <w:ind w:left="0"/>
        <w:jc w:val="both"/>
        <w:rPr>
          <w:rFonts w:ascii="Arial" w:hAnsi="Arial" w:cs="Arial"/>
          <w:sz w:val="20"/>
        </w:rPr>
      </w:pPr>
    </w:p>
    <w:p w:rsidR="00927B09" w:rsidRPr="00927B09" w:rsidRDefault="00927B09" w:rsidP="00927B09">
      <w:pPr>
        <w:pStyle w:val="Listenabsatz"/>
        <w:ind w:left="0"/>
        <w:jc w:val="both"/>
        <w:rPr>
          <w:rFonts w:ascii="Arial" w:hAnsi="Arial" w:cs="Arial"/>
          <w:sz w:val="20"/>
        </w:rPr>
      </w:pPr>
      <w:r w:rsidRPr="00927B09">
        <w:rPr>
          <w:rFonts w:ascii="Arial" w:hAnsi="Arial" w:cs="Arial"/>
          <w:sz w:val="20"/>
        </w:rPr>
        <w:t xml:space="preserve">1. Überträgt ein Großelternteil ein Grundstück schenkweise auf ein Kind und schenkt das bedachte Kind unmittelbar im Anschluss an die ausgeführte Schenkung einen Grundstücksteil an das Enkelkind weiter, ohne zur Weiterschenkung verpflichtet zu sein, liegt schenkungsteuerrechtlich keine Zuwendung des Großelternteils an das Enkelkind vor </w:t>
      </w:r>
      <w:bookmarkStart w:id="2" w:name="_retrdlink_47"/>
      <w:r w:rsidRPr="00927B09">
        <w:rPr>
          <w:rFonts w:ascii="Arial" w:hAnsi="Arial" w:cs="Arial"/>
          <w:sz w:val="20"/>
        </w:rPr>
        <w:t>(Rn.47)</w:t>
      </w:r>
      <w:bookmarkEnd w:id="2"/>
      <w:r w:rsidRPr="00927B09">
        <w:rPr>
          <w:rFonts w:ascii="Arial" w:hAnsi="Arial" w:cs="Arial"/>
          <w:sz w:val="20"/>
        </w:rPr>
        <w:t>.</w:t>
      </w:r>
    </w:p>
    <w:p w:rsidR="00927B09" w:rsidRPr="00927B09" w:rsidRDefault="00927B09" w:rsidP="00927B09">
      <w:pPr>
        <w:pStyle w:val="Listenabsatz"/>
        <w:ind w:left="0"/>
        <w:jc w:val="both"/>
        <w:rPr>
          <w:rFonts w:ascii="Arial" w:hAnsi="Arial" w:cs="Arial"/>
          <w:sz w:val="20"/>
        </w:rPr>
      </w:pPr>
      <w:r w:rsidRPr="00927B09">
        <w:rPr>
          <w:rFonts w:ascii="Arial" w:hAnsi="Arial" w:cs="Arial"/>
          <w:sz w:val="20"/>
        </w:rPr>
        <w:t xml:space="preserve">2. Dass die Weiterübertragung in einem gemeinschaftlichen Testament der Großeltern vorgesehen ist, reicht für sich nicht aus, um eine Zuwendung des Großelternteils an das Enkelkind zu begründen </w:t>
      </w:r>
      <w:bookmarkStart w:id="3" w:name="_retrdlink_53"/>
      <w:r w:rsidRPr="00927B09">
        <w:rPr>
          <w:rFonts w:ascii="Arial" w:hAnsi="Arial" w:cs="Arial"/>
          <w:sz w:val="20"/>
        </w:rPr>
        <w:t>(Rn.53)</w:t>
      </w:r>
      <w:bookmarkEnd w:id="3"/>
      <w:r w:rsidRPr="00927B09">
        <w:rPr>
          <w:rFonts w:ascii="Arial" w:hAnsi="Arial" w:cs="Arial"/>
          <w:sz w:val="20"/>
        </w:rPr>
        <w:t>.</w:t>
      </w:r>
    </w:p>
    <w:p w:rsidR="00927B09" w:rsidRDefault="00927B09" w:rsidP="00927B09">
      <w:pPr>
        <w:pStyle w:val="Listenabsatz"/>
        <w:ind w:left="0"/>
        <w:jc w:val="both"/>
        <w:rPr>
          <w:rFonts w:ascii="Arial" w:hAnsi="Arial" w:cs="Arial"/>
          <w:sz w:val="20"/>
        </w:rPr>
      </w:pPr>
    </w:p>
    <w:p w:rsidR="00927B09" w:rsidRDefault="00927B09" w:rsidP="00927B09">
      <w:pPr>
        <w:pStyle w:val="Listenabsatz"/>
        <w:ind w:left="0"/>
        <w:jc w:val="center"/>
        <w:rPr>
          <w:rFonts w:ascii="Arial" w:hAnsi="Arial" w:cs="Arial"/>
          <w:b/>
          <w:sz w:val="20"/>
        </w:rPr>
      </w:pPr>
      <w:r w:rsidRPr="00927B09">
        <w:rPr>
          <w:rFonts w:ascii="Arial" w:hAnsi="Arial" w:cs="Arial"/>
          <w:b/>
          <w:sz w:val="20"/>
        </w:rPr>
        <w:t>VI.</w:t>
      </w:r>
    </w:p>
    <w:p w:rsidR="00927B09" w:rsidRPr="00927B09" w:rsidRDefault="00927B09" w:rsidP="00927B09">
      <w:pPr>
        <w:pStyle w:val="Listenabsatz"/>
        <w:ind w:left="0"/>
        <w:jc w:val="center"/>
        <w:rPr>
          <w:rFonts w:ascii="Arial" w:hAnsi="Arial" w:cs="Arial"/>
          <w:b/>
          <w:sz w:val="20"/>
        </w:rPr>
      </w:pPr>
      <w:r w:rsidRPr="00927B09">
        <w:rPr>
          <w:rFonts w:ascii="Arial" w:hAnsi="Arial" w:cs="Arial"/>
          <w:b/>
          <w:sz w:val="20"/>
        </w:rPr>
        <w:t xml:space="preserve">Zur Höhe der ersatzfähigen Mietwagenkosten: Bei der Schätzung kann von dem arithmetischen Mittel der Fraunhofer-Liste und der </w:t>
      </w:r>
      <w:proofErr w:type="spellStart"/>
      <w:r w:rsidRPr="00927B09">
        <w:rPr>
          <w:rFonts w:ascii="Arial" w:hAnsi="Arial" w:cs="Arial"/>
          <w:b/>
          <w:sz w:val="20"/>
        </w:rPr>
        <w:t>Schwacke</w:t>
      </w:r>
      <w:proofErr w:type="spellEnd"/>
      <w:r w:rsidRPr="00927B09">
        <w:rPr>
          <w:rFonts w:ascii="Arial" w:hAnsi="Arial" w:cs="Arial"/>
          <w:b/>
          <w:sz w:val="20"/>
        </w:rPr>
        <w:t>-Liste ausgegangen werden.</w:t>
      </w:r>
    </w:p>
    <w:p w:rsidR="00927B09" w:rsidRPr="00927B09" w:rsidRDefault="00927B09" w:rsidP="00927B09">
      <w:pPr>
        <w:pStyle w:val="Listenabsatz"/>
        <w:ind w:left="0"/>
        <w:jc w:val="center"/>
        <w:rPr>
          <w:rFonts w:ascii="Arial" w:hAnsi="Arial" w:cs="Arial"/>
          <w:sz w:val="20"/>
        </w:rPr>
      </w:pPr>
      <w:r w:rsidRPr="00927B09">
        <w:rPr>
          <w:rFonts w:ascii="Arial" w:hAnsi="Arial" w:cs="Arial"/>
          <w:sz w:val="20"/>
        </w:rPr>
        <w:t>Schleswig-Holsteinisches Oberlandesgericht, Urteil vom 28. November 2019</w:t>
      </w:r>
      <w:r>
        <w:rPr>
          <w:rFonts w:ascii="Arial" w:hAnsi="Arial" w:cs="Arial"/>
          <w:sz w:val="20"/>
        </w:rPr>
        <w:t>, Az.</w:t>
      </w:r>
      <w:r w:rsidRPr="00927B09">
        <w:rPr>
          <w:rFonts w:ascii="Arial" w:hAnsi="Arial" w:cs="Arial"/>
          <w:sz w:val="20"/>
        </w:rPr>
        <w:t xml:space="preserve"> 7 U 39/19</w:t>
      </w:r>
    </w:p>
    <w:p w:rsidR="00927B09" w:rsidRDefault="00927B09" w:rsidP="00927B09">
      <w:pPr>
        <w:pStyle w:val="Listenabsatz"/>
        <w:ind w:left="0"/>
        <w:jc w:val="both"/>
        <w:rPr>
          <w:rFonts w:ascii="Arial" w:hAnsi="Arial" w:cs="Arial"/>
          <w:sz w:val="20"/>
        </w:rPr>
      </w:pPr>
    </w:p>
    <w:p w:rsidR="00927B09" w:rsidRP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 xml:space="preserve">Mietwagenkosten sind nur im Umfang des günstigsten Vergleichsangebots auf dem örtlich relevanten Markt erstattungsfähig. Der Geschädigte hat grundsätzlich darzulegen und ggf. nachzuweisen, dass ihm unter Berücksichtigung seiner individuellen Erkenntnis- und Einflussmöglichkeiten sowie der gerade für ihn bestehenden Schwierigkeiten unter zumutbaren Anstrengungen auf dem in seiner Lage zeitlich und örtlich relevanten Markt - zumindest auf Nachfrage - kein wesentlich günstiger Tarif zugänglich war. </w:t>
      </w:r>
    </w:p>
    <w:p w:rsidR="00927B09" w:rsidRPr="00927B09" w:rsidRDefault="00927B09" w:rsidP="00927B09">
      <w:pPr>
        <w:jc w:val="both"/>
        <w:rPr>
          <w:rFonts w:ascii="Arial" w:hAnsi="Arial" w:cs="Arial"/>
          <w:sz w:val="20"/>
        </w:rPr>
      </w:pPr>
    </w:p>
    <w:p w:rsid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 xml:space="preserve">Soweit der Haftungsgrund feststeht und lediglich die Angemessenheit der angefallenen Mietwagenkosten streitig ist, soll trotz fehlender Darlegung der eingetretene Mindestschaden nach </w:t>
      </w:r>
      <w:hyperlink r:id="rId9" w:tooltip="§ 287 ZPO, Bundesnorm, Schadensermittlung; Höhe der Forderung, Zivilprozessordnung, gültig ab 21.10.2005" w:history="1">
        <w:r w:rsidRPr="00927B09">
          <w:rPr>
            <w:rStyle w:val="Hyperlink"/>
            <w:rFonts w:ascii="Arial" w:hAnsi="Arial" w:cs="Arial"/>
            <w:sz w:val="20"/>
          </w:rPr>
          <w:t>§ 287 ZPO</w:t>
        </w:r>
      </w:hyperlink>
      <w:r w:rsidRPr="00927B09">
        <w:rPr>
          <w:rFonts w:ascii="Arial" w:hAnsi="Arial" w:cs="Arial"/>
          <w:sz w:val="20"/>
        </w:rPr>
        <w:t xml:space="preserve"> geschätzt werden.</w:t>
      </w:r>
    </w:p>
    <w:p w:rsidR="00927B09" w:rsidRPr="00927B09" w:rsidRDefault="00927B09" w:rsidP="00927B09">
      <w:pPr>
        <w:pStyle w:val="Listenabsatz"/>
        <w:ind w:left="0"/>
        <w:jc w:val="both"/>
        <w:rPr>
          <w:rFonts w:ascii="Arial" w:hAnsi="Arial" w:cs="Arial"/>
          <w:sz w:val="20"/>
        </w:rPr>
      </w:pPr>
    </w:p>
    <w:p w:rsid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 xml:space="preserve">Der Zivilrichter ist grundsätzlich berechtigt, seiner Schadensschätzung sowohl die </w:t>
      </w:r>
      <w:proofErr w:type="spellStart"/>
      <w:r w:rsidRPr="00927B09">
        <w:rPr>
          <w:rFonts w:ascii="Arial" w:hAnsi="Arial" w:cs="Arial"/>
          <w:sz w:val="20"/>
        </w:rPr>
        <w:t>Schwacke</w:t>
      </w:r>
      <w:proofErr w:type="spellEnd"/>
      <w:r w:rsidRPr="00927B09">
        <w:rPr>
          <w:rFonts w:ascii="Arial" w:hAnsi="Arial" w:cs="Arial"/>
          <w:sz w:val="20"/>
        </w:rPr>
        <w:t xml:space="preserve">-Liste als auch den Fraunhofer-Mietpreisspiegel oder eine Kombination aus beidem (arithmetisches Mittel) zugrunde zu legen. Beide Listen sind grundsätzlich zur Schätzung der erforderlichen Mietwagenkosten geeignet, insoweit gibt es kein Richtig oder Falsch. </w:t>
      </w:r>
    </w:p>
    <w:p w:rsidR="00927B09" w:rsidRPr="00927B09" w:rsidRDefault="00927B09" w:rsidP="00927B09">
      <w:pPr>
        <w:pStyle w:val="Listenabsatz"/>
        <w:ind w:left="0"/>
        <w:jc w:val="both"/>
        <w:rPr>
          <w:rFonts w:ascii="Arial" w:hAnsi="Arial" w:cs="Arial"/>
          <w:sz w:val="20"/>
        </w:rPr>
      </w:pPr>
    </w:p>
    <w:p w:rsid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 xml:space="preserve">Es ist insbesondere sachgerecht, den Mindestschaden auf Grundlage des arithmetischen Mittels der einschlägigen Mietwagenkosten aus der </w:t>
      </w:r>
      <w:proofErr w:type="spellStart"/>
      <w:r w:rsidRPr="00927B09">
        <w:rPr>
          <w:rFonts w:ascii="Arial" w:hAnsi="Arial" w:cs="Arial"/>
          <w:sz w:val="20"/>
        </w:rPr>
        <w:t>Schwacke</w:t>
      </w:r>
      <w:proofErr w:type="spellEnd"/>
      <w:r w:rsidRPr="00927B09">
        <w:rPr>
          <w:rFonts w:ascii="Arial" w:hAnsi="Arial" w:cs="Arial"/>
          <w:sz w:val="20"/>
        </w:rPr>
        <w:t>-Liste und der Fraunhofer-Liste zu schätzen.</w:t>
      </w:r>
    </w:p>
    <w:p w:rsidR="00927B09" w:rsidRPr="00927B09" w:rsidRDefault="00927B09" w:rsidP="00927B09">
      <w:pPr>
        <w:pStyle w:val="Listenabsatz"/>
        <w:ind w:left="0"/>
        <w:jc w:val="both"/>
        <w:rPr>
          <w:rFonts w:ascii="Arial" w:hAnsi="Arial" w:cs="Arial"/>
          <w:sz w:val="20"/>
        </w:rPr>
      </w:pPr>
    </w:p>
    <w:p w:rsid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Hinsichtlich der Fahrzeugklasse ist auf den angemieteten Ersatzwagen und nicht auf den beschädigten Unfallwagen abzustellen. Bei Anmietung eines klassentieferen Fahrzeugs ist kein Abschlag für ersparte Eigenaufwendungen vorzunehmen.</w:t>
      </w:r>
    </w:p>
    <w:p w:rsidR="00927B09" w:rsidRPr="00927B09" w:rsidRDefault="00927B09" w:rsidP="00927B09">
      <w:pPr>
        <w:pStyle w:val="Listenabsatz"/>
        <w:ind w:left="0"/>
        <w:jc w:val="both"/>
        <w:rPr>
          <w:rFonts w:ascii="Arial" w:hAnsi="Arial" w:cs="Arial"/>
          <w:sz w:val="20"/>
        </w:rPr>
      </w:pPr>
    </w:p>
    <w:p w:rsid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 xml:space="preserve">Ein pauschaler Aufschlag auf den ermittelten „Normaltarif“ ist nur dann gerechtfertigt, wenn dies zur Abgeltung der mit der unfallbedingten Anmietung verbundenen Sondersituation oder der besonderen Vorhaltekosten des Fahrzeugvermieters dient. Ein solcher Aufschlag ist jedenfalls für einige Tage insbesondere dann gerechtfertigt, wenn der Geschädigte aufgrund einer unfallbedingten Not- und Eilsituation oder in Ermangelung ausreichender finanzieller Liquidität nicht in der Lage war, eine Anmietung zum günstigeren Normaltarif zu erhalten. Dies ist jedoch vom Geschädigten darzulegen und ggf. nachzuweisen. </w:t>
      </w:r>
    </w:p>
    <w:p w:rsidR="00927B09" w:rsidRPr="00927B09" w:rsidRDefault="00927B09" w:rsidP="00406EB5">
      <w:pPr>
        <w:pStyle w:val="Listenabsatz"/>
        <w:ind w:left="360"/>
        <w:jc w:val="both"/>
        <w:rPr>
          <w:rFonts w:ascii="Arial" w:hAnsi="Arial" w:cs="Arial"/>
          <w:sz w:val="20"/>
        </w:rPr>
      </w:pPr>
    </w:p>
    <w:p w:rsidR="00927B09" w:rsidRPr="00927B09" w:rsidRDefault="00927B09" w:rsidP="00927B09">
      <w:pPr>
        <w:pStyle w:val="Listenabsatz"/>
        <w:numPr>
          <w:ilvl w:val="0"/>
          <w:numId w:val="13"/>
        </w:numPr>
        <w:jc w:val="both"/>
        <w:rPr>
          <w:rFonts w:ascii="Arial" w:hAnsi="Arial" w:cs="Arial"/>
          <w:sz w:val="20"/>
        </w:rPr>
      </w:pPr>
      <w:r w:rsidRPr="00927B09">
        <w:rPr>
          <w:rFonts w:ascii="Arial" w:hAnsi="Arial" w:cs="Arial"/>
          <w:sz w:val="20"/>
        </w:rPr>
        <w:t xml:space="preserve">Gesondert in Rechnung gestellte weitere Leistungen wie Winterreifen, Zustellung und Abholung des Ersatzfahrzeugs, weiterer Fahrer, Anhängerkupplung und Navigationsgerät sind dem arithmetischen Mittel aus den Tabellen von Fraunhofer und </w:t>
      </w:r>
      <w:proofErr w:type="spellStart"/>
      <w:r w:rsidRPr="00927B09">
        <w:rPr>
          <w:rFonts w:ascii="Arial" w:hAnsi="Arial" w:cs="Arial"/>
          <w:sz w:val="20"/>
        </w:rPr>
        <w:t>Schwacke</w:t>
      </w:r>
      <w:proofErr w:type="spellEnd"/>
      <w:r w:rsidRPr="00927B09">
        <w:rPr>
          <w:rFonts w:ascii="Arial" w:hAnsi="Arial" w:cs="Arial"/>
          <w:sz w:val="20"/>
        </w:rPr>
        <w:t xml:space="preserve"> nur dann zuzuschlagen, sofern sie im Rahmen der streitgegenständlichen Anmietung auch tatsächlich angefallen sind.</w:t>
      </w:r>
    </w:p>
    <w:p w:rsidR="00915260" w:rsidRDefault="00915260">
      <w:pPr>
        <w:spacing w:after="160" w:line="259" w:lineRule="auto"/>
        <w:rPr>
          <w:rFonts w:ascii="Arial" w:hAnsi="Arial" w:cs="Arial"/>
          <w:sz w:val="20"/>
        </w:rPr>
      </w:pPr>
      <w:r>
        <w:rPr>
          <w:rFonts w:ascii="Arial" w:hAnsi="Arial" w:cs="Arial"/>
          <w:sz w:val="20"/>
        </w:rPr>
        <w:br w:type="page"/>
      </w:r>
    </w:p>
    <w:p w:rsidR="00927B09" w:rsidRPr="00927B09" w:rsidRDefault="00927B09" w:rsidP="00927B09">
      <w:pPr>
        <w:pStyle w:val="Listenabsatz"/>
        <w:ind w:left="0"/>
        <w:jc w:val="both"/>
        <w:rPr>
          <w:rFonts w:ascii="Arial" w:hAnsi="Arial" w:cs="Arial"/>
          <w:sz w:val="20"/>
        </w:rPr>
      </w:pPr>
      <w:bookmarkStart w:id="4" w:name="_GoBack"/>
      <w:bookmarkEnd w:id="4"/>
    </w:p>
    <w:p w:rsidR="00E85ED0" w:rsidRDefault="00406EB5" w:rsidP="00406EB5">
      <w:pPr>
        <w:jc w:val="center"/>
        <w:rPr>
          <w:rFonts w:ascii="Arial" w:hAnsi="Arial" w:cs="Arial"/>
          <w:b/>
          <w:sz w:val="20"/>
        </w:rPr>
      </w:pPr>
      <w:r w:rsidRPr="00406EB5">
        <w:rPr>
          <w:rFonts w:ascii="Arial" w:hAnsi="Arial" w:cs="Arial"/>
          <w:b/>
          <w:sz w:val="20"/>
        </w:rPr>
        <w:t>VII.</w:t>
      </w:r>
    </w:p>
    <w:p w:rsidR="00406EB5" w:rsidRPr="00406EB5" w:rsidRDefault="00406EB5" w:rsidP="00406EB5">
      <w:pPr>
        <w:jc w:val="center"/>
        <w:rPr>
          <w:rFonts w:ascii="Arial" w:hAnsi="Arial" w:cs="Arial"/>
          <w:b/>
          <w:sz w:val="20"/>
        </w:rPr>
      </w:pPr>
      <w:r w:rsidRPr="00406EB5">
        <w:rPr>
          <w:rFonts w:ascii="Arial" w:hAnsi="Arial" w:cs="Arial"/>
          <w:b/>
          <w:sz w:val="20"/>
        </w:rPr>
        <w:t xml:space="preserve">Sozialversicherungspflicht </w:t>
      </w:r>
      <w:proofErr w:type="spellStart"/>
      <w:r w:rsidRPr="00406EB5">
        <w:rPr>
          <w:rFonts w:ascii="Arial" w:hAnsi="Arial" w:cs="Arial"/>
          <w:b/>
          <w:sz w:val="20"/>
        </w:rPr>
        <w:t>bzw</w:t>
      </w:r>
      <w:proofErr w:type="spellEnd"/>
      <w:r w:rsidRPr="00406EB5">
        <w:rPr>
          <w:rFonts w:ascii="Arial" w:hAnsi="Arial" w:cs="Arial"/>
          <w:b/>
          <w:sz w:val="20"/>
        </w:rPr>
        <w:t xml:space="preserve"> -freiheit - Gesellschafter-Geschäftsführer einer GmbH - Kapitalbeteiligung - Rechtsmacht - abhängige Beschäftigung - selbstständige Tätigkeit - Abgrenzung</w:t>
      </w:r>
    </w:p>
    <w:p w:rsidR="00406EB5" w:rsidRPr="00406EB5" w:rsidRDefault="00406EB5" w:rsidP="00406EB5">
      <w:pPr>
        <w:jc w:val="center"/>
        <w:rPr>
          <w:rFonts w:ascii="Arial" w:hAnsi="Arial" w:cs="Arial"/>
          <w:sz w:val="20"/>
        </w:rPr>
      </w:pPr>
      <w:r w:rsidRPr="00406EB5">
        <w:rPr>
          <w:rFonts w:ascii="Arial" w:hAnsi="Arial" w:cs="Arial"/>
          <w:sz w:val="20"/>
        </w:rPr>
        <w:t>Hessisches Landessozialgeric</w:t>
      </w:r>
      <w:r>
        <w:rPr>
          <w:rFonts w:ascii="Arial" w:hAnsi="Arial" w:cs="Arial"/>
          <w:sz w:val="20"/>
        </w:rPr>
        <w:t>ht, Urteil vom 31. Oktober 2019, Az. L 1 KR 502/18</w:t>
      </w:r>
    </w:p>
    <w:p w:rsidR="00E85ED0" w:rsidRPr="00406EB5" w:rsidRDefault="00E85ED0" w:rsidP="00E85ED0">
      <w:pPr>
        <w:rPr>
          <w:rFonts w:ascii="Arial" w:hAnsi="Arial" w:cs="Arial"/>
          <w:sz w:val="20"/>
        </w:rPr>
      </w:pPr>
    </w:p>
    <w:p w:rsidR="00406EB5" w:rsidRPr="00406EB5" w:rsidRDefault="00406EB5" w:rsidP="00406EB5">
      <w:pPr>
        <w:jc w:val="both"/>
        <w:rPr>
          <w:rFonts w:ascii="Arial" w:hAnsi="Arial" w:cs="Arial"/>
          <w:sz w:val="20"/>
        </w:rPr>
      </w:pPr>
      <w:r w:rsidRPr="00406EB5">
        <w:rPr>
          <w:rFonts w:ascii="Arial" w:hAnsi="Arial" w:cs="Arial"/>
          <w:sz w:val="20"/>
        </w:rPr>
        <w:t xml:space="preserve">Gesellschafter-Geschäftsführer einer GmbH mit einer Kapitalbeteiligung von jeweils 33,33 % sind abhängig beschäftigt. Scheidet ein Gesellschafter-Geschäftsführer aus und wird sein Kapitalanteil auf die GmbH übertragen, so entspricht dies faktisch einer Aufteilung von je 50 %, so dass die beiden verbliebenen Gesellschafter als Geschäftsführer selbstständig tätig sind. </w:t>
      </w:r>
      <w:bookmarkStart w:id="5" w:name="_retrdlink_33"/>
      <w:r w:rsidRPr="00406EB5">
        <w:rPr>
          <w:rFonts w:ascii="Arial" w:hAnsi="Arial" w:cs="Arial"/>
          <w:sz w:val="20"/>
        </w:rPr>
        <w:t>(Rn.33)</w:t>
      </w:r>
      <w:bookmarkEnd w:id="5"/>
    </w:p>
    <w:p w:rsidR="00927B09" w:rsidRDefault="00927B09" w:rsidP="00E85ED0">
      <w:pPr>
        <w:rPr>
          <w:rFonts w:ascii="Arial" w:hAnsi="Arial" w:cs="Arial"/>
          <w:sz w:val="20"/>
        </w:rPr>
      </w:pPr>
    </w:p>
    <w:p w:rsidR="00406EB5" w:rsidRDefault="00406EB5" w:rsidP="00406EB5">
      <w:pPr>
        <w:jc w:val="center"/>
        <w:rPr>
          <w:rFonts w:ascii="Arial" w:hAnsi="Arial" w:cs="Arial"/>
          <w:b/>
          <w:sz w:val="20"/>
        </w:rPr>
      </w:pPr>
      <w:r w:rsidRPr="00406EB5">
        <w:rPr>
          <w:rFonts w:ascii="Arial" w:hAnsi="Arial" w:cs="Arial"/>
          <w:b/>
          <w:sz w:val="20"/>
        </w:rPr>
        <w:t>VIII.</w:t>
      </w:r>
    </w:p>
    <w:p w:rsidR="00406EB5" w:rsidRDefault="00406EB5" w:rsidP="00406EB5">
      <w:pPr>
        <w:jc w:val="center"/>
        <w:rPr>
          <w:rFonts w:ascii="Arial" w:hAnsi="Arial" w:cs="Arial"/>
          <w:b/>
          <w:sz w:val="20"/>
        </w:rPr>
      </w:pPr>
    </w:p>
    <w:p w:rsidR="00406EB5" w:rsidRDefault="00406EB5" w:rsidP="00406EB5">
      <w:pPr>
        <w:jc w:val="center"/>
        <w:rPr>
          <w:rFonts w:ascii="Arial" w:hAnsi="Arial" w:cs="Arial"/>
          <w:sz w:val="20"/>
        </w:rPr>
      </w:pPr>
      <w:r w:rsidRPr="00406EB5">
        <w:rPr>
          <w:rFonts w:ascii="Arial" w:hAnsi="Arial" w:cs="Arial"/>
          <w:sz w:val="20"/>
        </w:rPr>
        <w:t>LG Berlin, Beschluss vom 01. Oktober 2019, Az.</w:t>
      </w:r>
      <w:r w:rsidR="00915260">
        <w:rPr>
          <w:rFonts w:ascii="Arial" w:hAnsi="Arial" w:cs="Arial"/>
          <w:sz w:val="20"/>
        </w:rPr>
        <w:t xml:space="preserve"> 67 T 107/19</w:t>
      </w:r>
    </w:p>
    <w:p w:rsidR="00915260" w:rsidRDefault="00915260" w:rsidP="00406EB5">
      <w:pPr>
        <w:jc w:val="center"/>
        <w:rPr>
          <w:rFonts w:ascii="Arial" w:hAnsi="Arial" w:cs="Arial"/>
          <w:sz w:val="20"/>
        </w:rPr>
      </w:pPr>
    </w:p>
    <w:p w:rsidR="00406EB5" w:rsidRDefault="00915260" w:rsidP="00406EB5">
      <w:pPr>
        <w:jc w:val="both"/>
        <w:rPr>
          <w:rFonts w:ascii="Arial" w:hAnsi="Arial" w:cs="Arial"/>
          <w:sz w:val="20"/>
        </w:rPr>
      </w:pPr>
      <w:r w:rsidRPr="00915260">
        <w:rPr>
          <w:rFonts w:ascii="Arial" w:hAnsi="Arial" w:cs="Arial"/>
          <w:sz w:val="20"/>
        </w:rPr>
        <w:t xml:space="preserve">Wird der Mieter nicht im Rahmen einer Individualvereinbarung, sondern durch eine vom Vermieter gestellte Formularklausel zur Erbringung einer „Mietsicherheit“ verpflichtet, ohne dass die Klausel die Befugnis einer vermieterseitigen Verwertung während oder nach Beendigung des Mietverhältnisses näher regelt, ist der Kaution in Anwendung der </w:t>
      </w:r>
      <w:proofErr w:type="spellStart"/>
      <w:r w:rsidRPr="00915260">
        <w:rPr>
          <w:rFonts w:ascii="Arial" w:hAnsi="Arial" w:cs="Arial"/>
          <w:sz w:val="20"/>
        </w:rPr>
        <w:t>Unklarheitenregel</w:t>
      </w:r>
      <w:proofErr w:type="spellEnd"/>
      <w:r w:rsidRPr="00915260">
        <w:rPr>
          <w:rFonts w:ascii="Arial" w:hAnsi="Arial" w:cs="Arial"/>
          <w:sz w:val="20"/>
        </w:rPr>
        <w:t xml:space="preserve"> des </w:t>
      </w:r>
      <w:hyperlink r:id="rId10" w:tooltip="§ 305c BGB, Bundesnorm, Überraschende und mehrdeutige Klauseln, Bürgerliches Gesetzbuch, gültig ab 01.01.2002" w:history="1">
        <w:r w:rsidRPr="00915260">
          <w:rPr>
            <w:rStyle w:val="Hyperlink"/>
            <w:rFonts w:ascii="Arial" w:hAnsi="Arial" w:cs="Arial"/>
            <w:sz w:val="20"/>
          </w:rPr>
          <w:t>§ 305c Abs. 2 BGB</w:t>
        </w:r>
      </w:hyperlink>
      <w:r w:rsidRPr="00915260">
        <w:rPr>
          <w:rFonts w:ascii="Arial" w:hAnsi="Arial" w:cs="Arial"/>
          <w:sz w:val="20"/>
        </w:rPr>
        <w:t xml:space="preserve"> lediglich eine auf den Wortlaut der Sicherungsabrede beschränkte Funktion einer bloßen Sicherung des Vermieters vor einer möglichen Insolvenz des Mieters beizumessen, die ihm auch nach Beendigung des Mietverhältnisses ausschließlich für unstreitige oder rechtskräftig festgestellte Ansprüche das Recht zur Verwertung eröffnet</w:t>
      </w:r>
      <w:r>
        <w:rPr>
          <w:rFonts w:ascii="Arial" w:hAnsi="Arial" w:cs="Arial"/>
          <w:sz w:val="20"/>
        </w:rPr>
        <w:t>.</w:t>
      </w:r>
    </w:p>
    <w:p w:rsidR="00915260" w:rsidRDefault="00915260" w:rsidP="00406EB5">
      <w:pPr>
        <w:jc w:val="both"/>
        <w:rPr>
          <w:rFonts w:ascii="Arial" w:hAnsi="Arial" w:cs="Arial"/>
          <w:sz w:val="20"/>
        </w:rPr>
      </w:pPr>
    </w:p>
    <w:p w:rsidR="00915260" w:rsidRDefault="00915260" w:rsidP="00915260">
      <w:pPr>
        <w:jc w:val="center"/>
        <w:rPr>
          <w:rFonts w:ascii="Arial" w:hAnsi="Arial" w:cs="Arial"/>
          <w:b/>
          <w:sz w:val="20"/>
        </w:rPr>
      </w:pPr>
      <w:r w:rsidRPr="00915260">
        <w:rPr>
          <w:rFonts w:ascii="Arial" w:hAnsi="Arial" w:cs="Arial"/>
          <w:b/>
          <w:sz w:val="20"/>
        </w:rPr>
        <w:t>IX.</w:t>
      </w:r>
    </w:p>
    <w:p w:rsidR="00915260" w:rsidRPr="00915260" w:rsidRDefault="00915260" w:rsidP="00915260">
      <w:pPr>
        <w:jc w:val="center"/>
        <w:rPr>
          <w:rFonts w:ascii="Arial" w:hAnsi="Arial" w:cs="Arial"/>
          <w:b/>
          <w:sz w:val="20"/>
        </w:rPr>
      </w:pPr>
      <w:r w:rsidRPr="00915260">
        <w:rPr>
          <w:rFonts w:ascii="Arial" w:hAnsi="Arial" w:cs="Arial"/>
          <w:b/>
          <w:sz w:val="20"/>
        </w:rPr>
        <w:t>Gesamtschuldnerische Haftung innerhalb einer Partnergesellschaft</w:t>
      </w:r>
    </w:p>
    <w:p w:rsidR="00915260" w:rsidRDefault="00915260" w:rsidP="00915260">
      <w:pPr>
        <w:jc w:val="center"/>
        <w:rPr>
          <w:rFonts w:ascii="Arial" w:hAnsi="Arial" w:cs="Arial"/>
          <w:sz w:val="20"/>
        </w:rPr>
      </w:pPr>
      <w:r w:rsidRPr="00915260">
        <w:rPr>
          <w:rFonts w:ascii="Arial" w:hAnsi="Arial" w:cs="Arial"/>
          <w:sz w:val="20"/>
        </w:rPr>
        <w:t>BGH, Urteil vom 12. September 2019, Az. IX ZR 190/18</w:t>
      </w:r>
    </w:p>
    <w:p w:rsidR="00915260" w:rsidRDefault="00915260" w:rsidP="00915260">
      <w:pPr>
        <w:jc w:val="both"/>
        <w:rPr>
          <w:rFonts w:ascii="Arial" w:hAnsi="Arial" w:cs="Arial"/>
          <w:sz w:val="20"/>
        </w:rPr>
      </w:pPr>
    </w:p>
    <w:p w:rsidR="00915260" w:rsidRDefault="00915260" w:rsidP="00915260">
      <w:pPr>
        <w:jc w:val="both"/>
        <w:rPr>
          <w:rFonts w:ascii="Arial" w:hAnsi="Arial" w:cs="Arial"/>
          <w:sz w:val="20"/>
        </w:rPr>
      </w:pPr>
      <w:r w:rsidRPr="00915260">
        <w:rPr>
          <w:rFonts w:ascii="Arial" w:hAnsi="Arial" w:cs="Arial"/>
          <w:sz w:val="20"/>
        </w:rPr>
        <w:t xml:space="preserve">War ein Partner mit der Bearbeitung eines Auftrags befasst, endet seine Mithaftung nicht mit der Abgabe des Mandats innerhalb der Partnerschaftsgesellschaft. </w:t>
      </w:r>
      <w:bookmarkStart w:id="6" w:name="_retrdlink_10"/>
      <w:r w:rsidRPr="00915260">
        <w:rPr>
          <w:rFonts w:ascii="Arial" w:hAnsi="Arial" w:cs="Arial"/>
          <w:sz w:val="20"/>
        </w:rPr>
        <w:t>(Rn.10)</w:t>
      </w:r>
      <w:bookmarkEnd w:id="6"/>
    </w:p>
    <w:p w:rsidR="00915260" w:rsidRDefault="00915260" w:rsidP="00915260">
      <w:pPr>
        <w:jc w:val="both"/>
        <w:rPr>
          <w:rFonts w:ascii="Arial" w:hAnsi="Arial" w:cs="Arial"/>
          <w:sz w:val="20"/>
        </w:rPr>
      </w:pPr>
    </w:p>
    <w:p w:rsidR="00915260" w:rsidRDefault="00915260" w:rsidP="00915260">
      <w:pPr>
        <w:jc w:val="center"/>
        <w:rPr>
          <w:rFonts w:ascii="Arial" w:hAnsi="Arial" w:cs="Arial"/>
          <w:b/>
          <w:sz w:val="20"/>
        </w:rPr>
      </w:pPr>
      <w:r w:rsidRPr="00915260">
        <w:rPr>
          <w:rFonts w:ascii="Arial" w:hAnsi="Arial" w:cs="Arial"/>
          <w:b/>
          <w:sz w:val="20"/>
        </w:rPr>
        <w:t>X.</w:t>
      </w:r>
    </w:p>
    <w:p w:rsidR="00915260" w:rsidRPr="00915260" w:rsidRDefault="00915260" w:rsidP="00915260">
      <w:pPr>
        <w:jc w:val="center"/>
        <w:rPr>
          <w:rFonts w:ascii="Arial" w:hAnsi="Arial" w:cs="Arial"/>
          <w:b/>
          <w:sz w:val="20"/>
        </w:rPr>
      </w:pPr>
      <w:r w:rsidRPr="00915260">
        <w:rPr>
          <w:rFonts w:ascii="Arial" w:hAnsi="Arial" w:cs="Arial"/>
          <w:b/>
          <w:sz w:val="20"/>
        </w:rPr>
        <w:t>Steuerliche Berücksichtigung des Forderungsverzichts eines Gesellschafters einer Kapitalgesellschaft nach Einführung der Abgeltungsteuer</w:t>
      </w:r>
    </w:p>
    <w:p w:rsidR="00915260" w:rsidRDefault="00915260" w:rsidP="00915260">
      <w:pPr>
        <w:jc w:val="center"/>
        <w:rPr>
          <w:rFonts w:ascii="Arial" w:hAnsi="Arial" w:cs="Arial"/>
          <w:sz w:val="20"/>
        </w:rPr>
      </w:pPr>
      <w:r w:rsidRPr="00915260">
        <w:rPr>
          <w:rFonts w:ascii="Arial" w:hAnsi="Arial" w:cs="Arial"/>
          <w:sz w:val="20"/>
        </w:rPr>
        <w:t xml:space="preserve">BFH, Urteil vom 06. August 2019, Az. </w:t>
      </w:r>
      <w:r>
        <w:rPr>
          <w:rFonts w:ascii="Arial" w:hAnsi="Arial" w:cs="Arial"/>
          <w:sz w:val="20"/>
        </w:rPr>
        <w:t xml:space="preserve"> VIII R 18/16</w:t>
      </w:r>
    </w:p>
    <w:p w:rsidR="00915260" w:rsidRDefault="00915260" w:rsidP="00915260">
      <w:pPr>
        <w:jc w:val="both"/>
        <w:rPr>
          <w:rFonts w:ascii="Arial" w:hAnsi="Arial" w:cs="Arial"/>
          <w:sz w:val="20"/>
        </w:rPr>
      </w:pPr>
    </w:p>
    <w:p w:rsidR="00915260" w:rsidRPr="00915260" w:rsidRDefault="00915260" w:rsidP="00915260">
      <w:pPr>
        <w:jc w:val="both"/>
        <w:rPr>
          <w:rFonts w:ascii="Arial" w:hAnsi="Arial" w:cs="Arial"/>
          <w:sz w:val="20"/>
        </w:rPr>
      </w:pPr>
      <w:r w:rsidRPr="00915260">
        <w:rPr>
          <w:rFonts w:ascii="Arial" w:hAnsi="Arial" w:cs="Arial"/>
          <w:sz w:val="20"/>
        </w:rPr>
        <w:t xml:space="preserve">1. Ein durch das Gesellschaftsverhältnis veranlasster, unbedingter Verzicht eines Gesellschafters auf einen Teil der ihm gegen die Kapitalgesellschaft zustehenden Darlehensforderung führt zu einer Einlage i.S. des § 20 Abs. 2 Satz 2 EStG, soweit der Gesellschafter auf den werthaltigen Teil der Forderung verzichtet (Anschluss an Beschluss des Großen Senats des BFH vom 09.06.1997 - </w:t>
      </w:r>
      <w:proofErr w:type="spellStart"/>
      <w:r w:rsidRPr="00915260">
        <w:rPr>
          <w:rFonts w:ascii="Arial" w:hAnsi="Arial" w:cs="Arial"/>
          <w:sz w:val="20"/>
        </w:rPr>
        <w:t>GrS</w:t>
      </w:r>
      <w:proofErr w:type="spellEnd"/>
      <w:r w:rsidRPr="00915260">
        <w:rPr>
          <w:rFonts w:ascii="Arial" w:hAnsi="Arial" w:cs="Arial"/>
          <w:sz w:val="20"/>
        </w:rPr>
        <w:t xml:space="preserve"> 1/94, BFHE</w:t>
      </w:r>
      <w:r w:rsidRPr="00915260">
        <w:rPr>
          <w:rFonts w:ascii="Arial" w:hAnsi="Arial" w:cs="Arial"/>
          <w:sz w:val="20"/>
          <w:u w:val="single"/>
        </w:rPr>
        <w:t xml:space="preserve"> </w:t>
      </w:r>
      <w:r w:rsidRPr="00915260">
        <w:rPr>
          <w:rFonts w:ascii="Arial" w:hAnsi="Arial" w:cs="Arial"/>
          <w:sz w:val="20"/>
        </w:rPr>
        <w:t xml:space="preserve">183, 187, </w:t>
      </w:r>
      <w:proofErr w:type="spellStart"/>
      <w:r w:rsidRPr="00915260">
        <w:rPr>
          <w:rFonts w:ascii="Arial" w:hAnsi="Arial" w:cs="Arial"/>
          <w:sz w:val="20"/>
        </w:rPr>
        <w:t>BStBl</w:t>
      </w:r>
      <w:proofErr w:type="spellEnd"/>
      <w:r w:rsidRPr="00915260">
        <w:rPr>
          <w:rFonts w:ascii="Arial" w:hAnsi="Arial" w:cs="Arial"/>
          <w:sz w:val="20"/>
        </w:rPr>
        <w:t xml:space="preserve"> II 1998, 307, unter C.II.4.). Dies setzt voraus, dass der Verzichtsbetrag den Nennwert des nicht werthaltigen Teils der Forderung übersteigt. Stehen dem durch die Einlage bewirkten Zufluss Anschaffungskosten in gleicher Höhe gegenüber, fällt kein Gewinn i.S. des § 20 Abs. 4 EStG an </w:t>
      </w:r>
      <w:bookmarkStart w:id="7" w:name="_retrdlink_16"/>
      <w:r w:rsidRPr="00915260">
        <w:rPr>
          <w:rFonts w:ascii="Arial" w:hAnsi="Arial" w:cs="Arial"/>
          <w:sz w:val="20"/>
        </w:rPr>
        <w:t>(Rn.16)</w:t>
      </w:r>
      <w:bookmarkEnd w:id="7"/>
      <w:r w:rsidRPr="00915260">
        <w:rPr>
          <w:rFonts w:ascii="Arial" w:hAnsi="Arial" w:cs="Arial"/>
          <w:sz w:val="20"/>
        </w:rPr>
        <w:t>.</w:t>
      </w:r>
    </w:p>
    <w:p w:rsidR="00915260" w:rsidRPr="00915260" w:rsidRDefault="00915260" w:rsidP="00915260">
      <w:pPr>
        <w:jc w:val="both"/>
        <w:rPr>
          <w:rFonts w:ascii="Arial" w:hAnsi="Arial" w:cs="Arial"/>
          <w:sz w:val="20"/>
        </w:rPr>
      </w:pPr>
      <w:r w:rsidRPr="00915260">
        <w:rPr>
          <w:rFonts w:ascii="Arial" w:hAnsi="Arial" w:cs="Arial"/>
          <w:sz w:val="20"/>
        </w:rPr>
        <w:t xml:space="preserve">2. Der Verzicht des Gesellschafters auf den nicht werthaltigen Teil seiner Forderung gegen die Kapitalgesellschaft steht einer Abtretung gleich und führt nach Einführung der Abgeltungsteuer zu einem gemäß § 20 Abs. 2 Satz 2 EStG steuerlich zu berücksichtigenden Forderungsausfall. Steuerliche Auswirkungen hat der Forderungsverzicht jedoch nur, wenn der Steuerpflichtige für den nicht werthaltigen Teil der Forderung Anschaffungskosten getragen hat </w:t>
      </w:r>
      <w:bookmarkStart w:id="8" w:name="_retrdlink_19"/>
      <w:r w:rsidRPr="00915260">
        <w:rPr>
          <w:rFonts w:ascii="Arial" w:hAnsi="Arial" w:cs="Arial"/>
          <w:sz w:val="20"/>
        </w:rPr>
        <w:t xml:space="preserve">(Rn.19) </w:t>
      </w:r>
      <w:bookmarkStart w:id="9" w:name="_retrdlink_21"/>
      <w:r w:rsidRPr="00915260">
        <w:rPr>
          <w:rFonts w:ascii="Arial" w:hAnsi="Arial" w:cs="Arial"/>
          <w:sz w:val="20"/>
        </w:rPr>
        <w:t>(Rn.21)</w:t>
      </w:r>
      <w:bookmarkStart w:id="10" w:name="_retrdlink_23"/>
      <w:bookmarkEnd w:id="9"/>
      <w:r w:rsidRPr="00915260">
        <w:rPr>
          <w:rFonts w:ascii="Arial" w:hAnsi="Arial" w:cs="Arial"/>
          <w:sz w:val="20"/>
        </w:rPr>
        <w:t>(Rn.23)</w:t>
      </w:r>
      <w:bookmarkEnd w:id="10"/>
      <w:r w:rsidRPr="00915260">
        <w:rPr>
          <w:rFonts w:ascii="Arial" w:hAnsi="Arial" w:cs="Arial"/>
          <w:sz w:val="20"/>
        </w:rPr>
        <w:t>.</w:t>
      </w:r>
    </w:p>
    <w:p w:rsidR="00915260" w:rsidRPr="00915260" w:rsidRDefault="00915260" w:rsidP="00915260">
      <w:pPr>
        <w:jc w:val="both"/>
        <w:rPr>
          <w:rFonts w:ascii="Arial" w:hAnsi="Arial" w:cs="Arial"/>
          <w:sz w:val="20"/>
        </w:rPr>
      </w:pPr>
      <w:r w:rsidRPr="00915260">
        <w:rPr>
          <w:rFonts w:ascii="Arial" w:hAnsi="Arial" w:cs="Arial"/>
          <w:sz w:val="20"/>
        </w:rPr>
        <w:t>Orientierungssatz</w:t>
      </w:r>
    </w:p>
    <w:p w:rsidR="00915260" w:rsidRPr="00915260" w:rsidRDefault="00915260" w:rsidP="00915260">
      <w:pPr>
        <w:jc w:val="both"/>
        <w:rPr>
          <w:rFonts w:ascii="Arial" w:hAnsi="Arial" w:cs="Arial"/>
          <w:sz w:val="20"/>
        </w:rPr>
      </w:pPr>
      <w:r w:rsidRPr="00915260">
        <w:rPr>
          <w:rFonts w:ascii="Arial" w:hAnsi="Arial" w:cs="Arial"/>
          <w:sz w:val="20"/>
        </w:rPr>
        <w:t xml:space="preserve">1. Zu Leitsatz 2: Der anderslautenden Auffassung in </w:t>
      </w:r>
      <w:proofErr w:type="spellStart"/>
      <w:r w:rsidRPr="00915260">
        <w:rPr>
          <w:rFonts w:ascii="Arial" w:hAnsi="Arial" w:cs="Arial"/>
          <w:sz w:val="20"/>
        </w:rPr>
        <w:t>Rz</w:t>
      </w:r>
      <w:proofErr w:type="spellEnd"/>
      <w:r w:rsidRPr="00915260">
        <w:rPr>
          <w:rFonts w:ascii="Arial" w:hAnsi="Arial" w:cs="Arial"/>
          <w:sz w:val="20"/>
        </w:rPr>
        <w:t>. 61 des BMF-Schreibens vom 18.01.2016 IV C 1-S 2252/08/10004:017, 2015/0468306 (</w:t>
      </w:r>
      <w:proofErr w:type="spellStart"/>
      <w:r w:rsidRPr="00915260">
        <w:rPr>
          <w:rFonts w:ascii="Arial" w:hAnsi="Arial" w:cs="Arial"/>
          <w:sz w:val="20"/>
        </w:rPr>
        <w:t>BStBl</w:t>
      </w:r>
      <w:proofErr w:type="spellEnd"/>
      <w:r w:rsidRPr="00915260">
        <w:rPr>
          <w:rFonts w:ascii="Arial" w:hAnsi="Arial" w:cs="Arial"/>
          <w:sz w:val="20"/>
        </w:rPr>
        <w:t xml:space="preserve"> I 2016, 85) ist nicht zu folgen (Rn.19)</w:t>
      </w:r>
      <w:bookmarkEnd w:id="8"/>
      <w:r w:rsidRPr="00915260">
        <w:rPr>
          <w:rFonts w:ascii="Arial" w:hAnsi="Arial" w:cs="Arial"/>
          <w:sz w:val="20"/>
        </w:rPr>
        <w:t>.</w:t>
      </w:r>
    </w:p>
    <w:p w:rsidR="00915260" w:rsidRDefault="00915260" w:rsidP="00915260">
      <w:pPr>
        <w:jc w:val="both"/>
        <w:rPr>
          <w:rFonts w:ascii="Arial" w:hAnsi="Arial" w:cs="Arial"/>
          <w:sz w:val="20"/>
        </w:rPr>
      </w:pPr>
      <w:r w:rsidRPr="00915260">
        <w:rPr>
          <w:rFonts w:ascii="Arial" w:hAnsi="Arial" w:cs="Arial"/>
          <w:sz w:val="20"/>
        </w:rPr>
        <w:t>2. Zu Leitsatz 2: Der Anerkennung eines entsprechenden Verlustes steht die Freiwilligkeit des Verzichts nicht entgegen (</w:t>
      </w:r>
      <w:proofErr w:type="spellStart"/>
      <w:r w:rsidRPr="00915260">
        <w:rPr>
          <w:rFonts w:ascii="Arial" w:hAnsi="Arial" w:cs="Arial"/>
          <w:sz w:val="20"/>
        </w:rPr>
        <w:t>a.A</w:t>
      </w:r>
      <w:proofErr w:type="spellEnd"/>
      <w:r w:rsidRPr="00915260">
        <w:rPr>
          <w:rFonts w:ascii="Arial" w:hAnsi="Arial" w:cs="Arial"/>
          <w:sz w:val="20"/>
        </w:rPr>
        <w:t xml:space="preserve">. FG Rheinland-Pfalz, Urteil vom 12.07.2016 3 K 1133/14) </w:t>
      </w:r>
      <w:bookmarkStart w:id="11" w:name="_retrdlink_22"/>
      <w:r w:rsidRPr="00915260">
        <w:rPr>
          <w:rFonts w:ascii="Arial" w:hAnsi="Arial" w:cs="Arial"/>
          <w:sz w:val="20"/>
        </w:rPr>
        <w:t>(Rn.22)</w:t>
      </w:r>
      <w:bookmarkEnd w:id="11"/>
      <w:r w:rsidRPr="00915260">
        <w:rPr>
          <w:rFonts w:ascii="Arial" w:hAnsi="Arial" w:cs="Arial"/>
          <w:sz w:val="20"/>
        </w:rPr>
        <w:t>.</w:t>
      </w:r>
    </w:p>
    <w:p w:rsidR="00915260" w:rsidRDefault="00915260" w:rsidP="00915260">
      <w:pPr>
        <w:jc w:val="both"/>
        <w:rPr>
          <w:rFonts w:ascii="Arial" w:hAnsi="Arial" w:cs="Arial"/>
          <w:sz w:val="20"/>
        </w:rPr>
      </w:pPr>
    </w:p>
    <w:p w:rsidR="00915260" w:rsidRDefault="00915260" w:rsidP="00915260">
      <w:pPr>
        <w:jc w:val="both"/>
        <w:rPr>
          <w:rFonts w:ascii="Arial" w:hAnsi="Arial" w:cs="Arial"/>
          <w:sz w:val="20"/>
        </w:rPr>
      </w:pP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Für Rückfragen stehe ich Ihnen gerne zur Verfügung.</w:t>
      </w:r>
    </w:p>
    <w:p w:rsidR="00915260" w:rsidRPr="00CF157E" w:rsidRDefault="00915260" w:rsidP="00915260">
      <w:pPr>
        <w:jc w:val="both"/>
        <w:rPr>
          <w:rFonts w:ascii="Arial" w:eastAsia="Times New Roman" w:hAnsi="Arial" w:cs="Arial"/>
          <w:sz w:val="20"/>
          <w:szCs w:val="20"/>
        </w:rPr>
      </w:pPr>
    </w:p>
    <w:p w:rsidR="00915260" w:rsidRPr="00CF157E" w:rsidRDefault="00915260" w:rsidP="00915260">
      <w:pPr>
        <w:jc w:val="both"/>
        <w:rPr>
          <w:rFonts w:ascii="Arial" w:eastAsia="Times New Roman" w:hAnsi="Arial" w:cs="Arial"/>
          <w:sz w:val="20"/>
          <w:szCs w:val="20"/>
        </w:rPr>
      </w:pP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Michael Henn</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Rechtsanwalt</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lastRenderedPageBreak/>
        <w:t>Fachanwalt für Erbrecht</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 xml:space="preserve">Fachanwalt für Arbeitsrecht </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 xml:space="preserve">Schriftleiter mittelstandsdepesche </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 xml:space="preserve">Rechtsanwälte Dr. </w:t>
      </w:r>
      <w:proofErr w:type="spellStart"/>
      <w:r w:rsidRPr="00CF157E">
        <w:rPr>
          <w:rFonts w:ascii="Arial" w:eastAsia="Times New Roman" w:hAnsi="Arial" w:cs="Arial"/>
          <w:sz w:val="20"/>
          <w:szCs w:val="20"/>
        </w:rPr>
        <w:t>Gaupp</w:t>
      </w:r>
      <w:proofErr w:type="spellEnd"/>
      <w:r w:rsidRPr="00CF157E">
        <w:rPr>
          <w:rFonts w:ascii="Arial" w:eastAsia="Times New Roman" w:hAnsi="Arial" w:cs="Arial"/>
          <w:sz w:val="20"/>
          <w:szCs w:val="20"/>
        </w:rPr>
        <w:t xml:space="preserve"> &amp; </w:t>
      </w:r>
      <w:proofErr w:type="spellStart"/>
      <w:r w:rsidRPr="00CF157E">
        <w:rPr>
          <w:rFonts w:ascii="Arial" w:eastAsia="Times New Roman" w:hAnsi="Arial" w:cs="Arial"/>
          <w:sz w:val="20"/>
          <w:szCs w:val="20"/>
        </w:rPr>
        <w:t>Coll</w:t>
      </w:r>
      <w:proofErr w:type="spellEnd"/>
      <w:r w:rsidRPr="00CF157E">
        <w:rPr>
          <w:rFonts w:ascii="Arial" w:eastAsia="Times New Roman" w:hAnsi="Arial" w:cs="Arial"/>
          <w:sz w:val="20"/>
          <w:szCs w:val="20"/>
        </w:rPr>
        <w:t>.</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 xml:space="preserve">Kronprinzstr. 14 </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70173 Stuttgart</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Tel.: 0711/ 30 58 93-0</w:t>
      </w:r>
      <w:r w:rsidRPr="00CF157E">
        <w:rPr>
          <w:rFonts w:ascii="Arial" w:eastAsia="Times New Roman" w:hAnsi="Arial" w:cs="Arial"/>
          <w:sz w:val="20"/>
          <w:szCs w:val="20"/>
        </w:rPr>
        <w:tab/>
      </w:r>
      <w:r w:rsidRPr="00CF157E">
        <w:rPr>
          <w:rFonts w:ascii="Arial" w:eastAsia="Times New Roman" w:hAnsi="Arial" w:cs="Arial"/>
          <w:sz w:val="20"/>
          <w:szCs w:val="20"/>
        </w:rPr>
        <w:tab/>
        <w:t>Fax: 0711/ 30 58 93-11</w:t>
      </w:r>
    </w:p>
    <w:p w:rsidR="00915260" w:rsidRPr="00CF157E" w:rsidRDefault="00915260" w:rsidP="00915260">
      <w:pPr>
        <w:jc w:val="both"/>
        <w:rPr>
          <w:rFonts w:ascii="Arial" w:eastAsia="Times New Roman" w:hAnsi="Arial" w:cs="Arial"/>
          <w:sz w:val="20"/>
          <w:szCs w:val="20"/>
        </w:rPr>
      </w:pPr>
      <w:r w:rsidRPr="00CF157E">
        <w:rPr>
          <w:rFonts w:ascii="Arial" w:eastAsia="Times New Roman" w:hAnsi="Arial" w:cs="Arial"/>
          <w:sz w:val="20"/>
          <w:szCs w:val="20"/>
        </w:rPr>
        <w:t xml:space="preserve">E-Mail: </w:t>
      </w:r>
      <w:hyperlink r:id="rId11" w:history="1">
        <w:r w:rsidRPr="00CF157E">
          <w:rPr>
            <w:rFonts w:ascii="Arial" w:eastAsia="Times New Roman" w:hAnsi="Arial" w:cs="Arial"/>
            <w:color w:val="0000FF"/>
            <w:sz w:val="20"/>
            <w:szCs w:val="20"/>
            <w:u w:val="single"/>
          </w:rPr>
          <w:t>henn@drgaupp.de</w:t>
        </w:r>
      </w:hyperlink>
      <w:r w:rsidRPr="00CF157E">
        <w:rPr>
          <w:rFonts w:ascii="Arial" w:eastAsia="Times New Roman" w:hAnsi="Arial" w:cs="Arial"/>
          <w:sz w:val="20"/>
          <w:szCs w:val="20"/>
        </w:rPr>
        <w:tab/>
      </w:r>
      <w:hyperlink r:id="rId12" w:history="1">
        <w:r w:rsidRPr="00CF157E">
          <w:rPr>
            <w:rFonts w:ascii="Arial" w:eastAsia="Times New Roman" w:hAnsi="Arial" w:cs="Arial"/>
            <w:color w:val="0000FF"/>
            <w:sz w:val="20"/>
            <w:szCs w:val="20"/>
            <w:u w:val="single"/>
          </w:rPr>
          <w:t>www.drgaupp.de</w:t>
        </w:r>
      </w:hyperlink>
    </w:p>
    <w:p w:rsidR="00915260" w:rsidRPr="00CF157E" w:rsidRDefault="00915260" w:rsidP="00915260">
      <w:pPr>
        <w:jc w:val="both"/>
        <w:rPr>
          <w:rFonts w:ascii="Arial" w:hAnsi="Arial" w:cs="Arial"/>
          <w:sz w:val="20"/>
          <w:szCs w:val="20"/>
          <w:lang w:eastAsia="en-US"/>
        </w:rPr>
      </w:pPr>
    </w:p>
    <w:sectPr w:rsidR="00915260" w:rsidRPr="00CF157E">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B09" w:rsidRDefault="00927B09" w:rsidP="00927B09">
      <w:r>
        <w:separator/>
      </w:r>
    </w:p>
  </w:endnote>
  <w:endnote w:type="continuationSeparator" w:id="0">
    <w:p w:rsidR="00927B09" w:rsidRDefault="00927B09" w:rsidP="0092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B09" w:rsidRDefault="00927B09" w:rsidP="00927B09">
      <w:r>
        <w:separator/>
      </w:r>
    </w:p>
  </w:footnote>
  <w:footnote w:type="continuationSeparator" w:id="0">
    <w:p w:rsidR="00927B09" w:rsidRDefault="00927B09" w:rsidP="00927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09" w:rsidRPr="00927B09" w:rsidRDefault="00927B09" w:rsidP="00927B09">
    <w:pPr>
      <w:tabs>
        <w:tab w:val="center" w:pos="4819"/>
        <w:tab w:val="right" w:pos="9071"/>
      </w:tabs>
      <w:jc w:val="center"/>
      <w:rPr>
        <w:rFonts w:ascii="Arial" w:eastAsia="Times New Roman" w:hAnsi="Arial" w:cs="Arial"/>
        <w:szCs w:val="20"/>
      </w:rPr>
    </w:pPr>
    <w:r w:rsidRPr="00927B09">
      <w:rPr>
        <w:rFonts w:ascii="Arial" w:eastAsia="Times New Roman" w:hAnsi="Arial" w:cs="Arial"/>
        <w:b/>
        <w:bCs/>
        <w:sz w:val="28"/>
        <w:szCs w:val="28"/>
      </w:rPr>
      <w:t>mittelstandsdepesche 11-2019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0EBA"/>
    <w:multiLevelType w:val="hybridMultilevel"/>
    <w:tmpl w:val="B6C8AEDE"/>
    <w:lvl w:ilvl="0" w:tplc="B3AEBF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AF4AA4"/>
    <w:multiLevelType w:val="multilevel"/>
    <w:tmpl w:val="9A90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A48D5"/>
    <w:multiLevelType w:val="multilevel"/>
    <w:tmpl w:val="BEC0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44CB5"/>
    <w:multiLevelType w:val="multilevel"/>
    <w:tmpl w:val="F84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7BF4"/>
    <w:multiLevelType w:val="hybridMultilevel"/>
    <w:tmpl w:val="443C194A"/>
    <w:lvl w:ilvl="0" w:tplc="34C4C8A6">
      <w:start w:val="1"/>
      <w:numFmt w:val="lowerLetter"/>
      <w:lvlText w:val="%1)"/>
      <w:lvlJc w:val="left"/>
      <w:pPr>
        <w:ind w:left="360" w:hanging="360"/>
      </w:pPr>
      <w:rPr>
        <w:rFonts w:ascii="Arial" w:hAnsi="Arial" w:cs="Arial" w:hint="default"/>
        <w:sz w:val="2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C5241F"/>
    <w:multiLevelType w:val="multilevel"/>
    <w:tmpl w:val="FB46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65DD8"/>
    <w:multiLevelType w:val="multilevel"/>
    <w:tmpl w:val="C9C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11A00"/>
    <w:multiLevelType w:val="multilevel"/>
    <w:tmpl w:val="691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F13B5"/>
    <w:multiLevelType w:val="multilevel"/>
    <w:tmpl w:val="55E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539CD"/>
    <w:multiLevelType w:val="multilevel"/>
    <w:tmpl w:val="3E8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97725"/>
    <w:multiLevelType w:val="multilevel"/>
    <w:tmpl w:val="2BD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B3F37"/>
    <w:multiLevelType w:val="multilevel"/>
    <w:tmpl w:val="BF9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8037B"/>
    <w:multiLevelType w:val="hybridMultilevel"/>
    <w:tmpl w:val="168EC916"/>
    <w:lvl w:ilvl="0" w:tplc="577C98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
  </w:num>
  <w:num w:numId="5">
    <w:abstractNumId w:val="3"/>
  </w:num>
  <w:num w:numId="6">
    <w:abstractNumId w:val="8"/>
  </w:num>
  <w:num w:numId="7">
    <w:abstractNumId w:val="2"/>
  </w:num>
  <w:num w:numId="8">
    <w:abstractNumId w:val="11"/>
  </w:num>
  <w:num w:numId="9">
    <w:abstractNumId w:val="6"/>
  </w:num>
  <w:num w:numId="10">
    <w:abstractNumId w:val="10"/>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27"/>
    <w:rsid w:val="000C2827"/>
    <w:rsid w:val="00305BC3"/>
    <w:rsid w:val="00406EB5"/>
    <w:rsid w:val="00741CE8"/>
    <w:rsid w:val="00915260"/>
    <w:rsid w:val="00927B09"/>
    <w:rsid w:val="00B90504"/>
    <w:rsid w:val="00D97963"/>
    <w:rsid w:val="00DE2F90"/>
    <w:rsid w:val="00E85E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94196-F0A8-45B6-9E77-2A2A81AB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2827"/>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E85E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0C2827"/>
    <w:pPr>
      <w:spacing w:after="75" w:line="240" w:lineRule="atLeast"/>
      <w:outlineLvl w:val="2"/>
    </w:pPr>
    <w:rPr>
      <w:b/>
      <w:bCs/>
    </w:rPr>
  </w:style>
  <w:style w:type="paragraph" w:styleId="berschrift4">
    <w:name w:val="heading 4"/>
    <w:basedOn w:val="Standard"/>
    <w:link w:val="berschrift4Zchn"/>
    <w:uiPriority w:val="9"/>
    <w:semiHidden/>
    <w:unhideWhenUsed/>
    <w:qFormat/>
    <w:rsid w:val="000C2827"/>
    <w:pPr>
      <w:spacing w:after="150"/>
      <w:outlineLvl w:val="3"/>
    </w:pPr>
    <w:rPr>
      <w:color w:val="666666"/>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0C2827"/>
    <w:rPr>
      <w:rFonts w:ascii="Times New Roman" w:hAnsi="Times New Roman" w:cs="Times New Roman"/>
      <w:b/>
      <w:bCs/>
      <w:sz w:val="24"/>
      <w:szCs w:val="24"/>
      <w:lang w:eastAsia="de-DE"/>
    </w:rPr>
  </w:style>
  <w:style w:type="character" w:customStyle="1" w:styleId="berschrift4Zchn">
    <w:name w:val="Überschrift 4 Zchn"/>
    <w:basedOn w:val="Absatz-Standardschriftart"/>
    <w:link w:val="berschrift4"/>
    <w:uiPriority w:val="9"/>
    <w:semiHidden/>
    <w:rsid w:val="000C2827"/>
    <w:rPr>
      <w:rFonts w:ascii="Times New Roman" w:hAnsi="Times New Roman" w:cs="Times New Roman"/>
      <w:color w:val="666666"/>
      <w:sz w:val="21"/>
      <w:szCs w:val="21"/>
      <w:lang w:eastAsia="de-DE"/>
    </w:rPr>
  </w:style>
  <w:style w:type="paragraph" w:styleId="Listenabsatz">
    <w:name w:val="List Paragraph"/>
    <w:basedOn w:val="Standard"/>
    <w:uiPriority w:val="34"/>
    <w:qFormat/>
    <w:rsid w:val="00E85ED0"/>
    <w:pPr>
      <w:ind w:left="720"/>
      <w:contextualSpacing/>
    </w:pPr>
  </w:style>
  <w:style w:type="character" w:customStyle="1" w:styleId="berschrift2Zchn">
    <w:name w:val="Überschrift 2 Zchn"/>
    <w:basedOn w:val="Absatz-Standardschriftart"/>
    <w:link w:val="berschrift2"/>
    <w:uiPriority w:val="9"/>
    <w:semiHidden/>
    <w:rsid w:val="00E85ED0"/>
    <w:rPr>
      <w:rFonts w:asciiTheme="majorHAnsi" w:eastAsiaTheme="majorEastAsia" w:hAnsiTheme="majorHAnsi" w:cstheme="majorBidi"/>
      <w:color w:val="2E74B5" w:themeColor="accent1" w:themeShade="BF"/>
      <w:sz w:val="26"/>
      <w:szCs w:val="26"/>
      <w:lang w:eastAsia="de-DE"/>
    </w:rPr>
  </w:style>
  <w:style w:type="character" w:styleId="Fett">
    <w:name w:val="Strong"/>
    <w:basedOn w:val="Absatz-Standardschriftart"/>
    <w:uiPriority w:val="22"/>
    <w:qFormat/>
    <w:rsid w:val="00E85ED0"/>
    <w:rPr>
      <w:b/>
      <w:bCs/>
    </w:rPr>
  </w:style>
  <w:style w:type="character" w:styleId="Hyperlink">
    <w:name w:val="Hyperlink"/>
    <w:basedOn w:val="Absatz-Standardschriftart"/>
    <w:uiPriority w:val="99"/>
    <w:unhideWhenUsed/>
    <w:rsid w:val="00E85ED0"/>
    <w:rPr>
      <w:color w:val="0000FF"/>
      <w:u w:val="single"/>
    </w:rPr>
  </w:style>
  <w:style w:type="character" w:customStyle="1" w:styleId="doclink">
    <w:name w:val="doclink"/>
    <w:basedOn w:val="Absatz-Standardschriftart"/>
    <w:rsid w:val="00E85ED0"/>
  </w:style>
  <w:style w:type="paragraph" w:styleId="StandardWeb">
    <w:name w:val="Normal (Web)"/>
    <w:basedOn w:val="Standard"/>
    <w:uiPriority w:val="99"/>
    <w:semiHidden/>
    <w:unhideWhenUsed/>
    <w:rsid w:val="00E85ED0"/>
    <w:pPr>
      <w:spacing w:before="100" w:beforeAutospacing="1" w:after="100" w:afterAutospacing="1"/>
    </w:pPr>
    <w:rPr>
      <w:rFonts w:eastAsia="Times New Roman"/>
    </w:rPr>
  </w:style>
  <w:style w:type="paragraph" w:styleId="Kopfzeile">
    <w:name w:val="header"/>
    <w:basedOn w:val="Standard"/>
    <w:link w:val="KopfzeileZchn"/>
    <w:uiPriority w:val="99"/>
    <w:unhideWhenUsed/>
    <w:rsid w:val="00927B09"/>
    <w:pPr>
      <w:tabs>
        <w:tab w:val="center" w:pos="4536"/>
        <w:tab w:val="right" w:pos="9072"/>
      </w:tabs>
    </w:pPr>
  </w:style>
  <w:style w:type="character" w:customStyle="1" w:styleId="KopfzeileZchn">
    <w:name w:val="Kopfzeile Zchn"/>
    <w:basedOn w:val="Absatz-Standardschriftart"/>
    <w:link w:val="Kopfzeile"/>
    <w:uiPriority w:val="99"/>
    <w:rsid w:val="00927B09"/>
    <w:rPr>
      <w:rFonts w:ascii="Times New Roman" w:hAnsi="Times New Roman" w:cs="Times New Roman"/>
      <w:sz w:val="24"/>
      <w:szCs w:val="24"/>
      <w:lang w:eastAsia="de-DE"/>
    </w:rPr>
  </w:style>
  <w:style w:type="paragraph" w:styleId="Fuzeile">
    <w:name w:val="footer"/>
    <w:basedOn w:val="Standard"/>
    <w:link w:val="FuzeileZchn"/>
    <w:uiPriority w:val="99"/>
    <w:unhideWhenUsed/>
    <w:rsid w:val="00927B09"/>
    <w:pPr>
      <w:tabs>
        <w:tab w:val="center" w:pos="4536"/>
        <w:tab w:val="right" w:pos="9072"/>
      </w:tabs>
    </w:pPr>
  </w:style>
  <w:style w:type="character" w:customStyle="1" w:styleId="FuzeileZchn">
    <w:name w:val="Fußzeile Zchn"/>
    <w:basedOn w:val="Absatz-Standardschriftart"/>
    <w:link w:val="Fuzeile"/>
    <w:uiPriority w:val="99"/>
    <w:rsid w:val="00927B09"/>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6018">
      <w:bodyDiv w:val="1"/>
      <w:marLeft w:val="0"/>
      <w:marRight w:val="0"/>
      <w:marTop w:val="0"/>
      <w:marBottom w:val="0"/>
      <w:divBdr>
        <w:top w:val="none" w:sz="0" w:space="0" w:color="auto"/>
        <w:left w:val="none" w:sz="0" w:space="0" w:color="auto"/>
        <w:bottom w:val="none" w:sz="0" w:space="0" w:color="auto"/>
        <w:right w:val="none" w:sz="0" w:space="0" w:color="auto"/>
      </w:divBdr>
      <w:divsChild>
        <w:div w:id="1693413905">
          <w:marLeft w:val="0"/>
          <w:marRight w:val="0"/>
          <w:marTop w:val="0"/>
          <w:marBottom w:val="0"/>
          <w:divBdr>
            <w:top w:val="none" w:sz="0" w:space="0" w:color="auto"/>
            <w:left w:val="none" w:sz="0" w:space="0" w:color="auto"/>
            <w:bottom w:val="none" w:sz="0" w:space="0" w:color="auto"/>
            <w:right w:val="none" w:sz="0" w:space="0" w:color="auto"/>
          </w:divBdr>
          <w:divsChild>
            <w:div w:id="778599605">
              <w:marLeft w:val="0"/>
              <w:marRight w:val="0"/>
              <w:marTop w:val="0"/>
              <w:marBottom w:val="0"/>
              <w:divBdr>
                <w:top w:val="none" w:sz="0" w:space="0" w:color="auto"/>
                <w:left w:val="none" w:sz="0" w:space="0" w:color="auto"/>
                <w:bottom w:val="none" w:sz="0" w:space="0" w:color="auto"/>
                <w:right w:val="none" w:sz="0" w:space="0" w:color="auto"/>
              </w:divBdr>
              <w:divsChild>
                <w:div w:id="2036419370">
                  <w:marLeft w:val="0"/>
                  <w:marRight w:val="0"/>
                  <w:marTop w:val="0"/>
                  <w:marBottom w:val="0"/>
                  <w:divBdr>
                    <w:top w:val="none" w:sz="0" w:space="0" w:color="auto"/>
                    <w:left w:val="none" w:sz="0" w:space="0" w:color="auto"/>
                    <w:bottom w:val="none" w:sz="0" w:space="0" w:color="auto"/>
                    <w:right w:val="none" w:sz="0" w:space="0" w:color="auto"/>
                  </w:divBdr>
                  <w:divsChild>
                    <w:div w:id="5750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10740">
          <w:marLeft w:val="0"/>
          <w:marRight w:val="0"/>
          <w:marTop w:val="0"/>
          <w:marBottom w:val="0"/>
          <w:divBdr>
            <w:top w:val="none" w:sz="0" w:space="0" w:color="auto"/>
            <w:left w:val="none" w:sz="0" w:space="0" w:color="auto"/>
            <w:bottom w:val="none" w:sz="0" w:space="0" w:color="auto"/>
            <w:right w:val="none" w:sz="0" w:space="0" w:color="auto"/>
          </w:divBdr>
        </w:div>
        <w:div w:id="17512472">
          <w:marLeft w:val="0"/>
          <w:marRight w:val="0"/>
          <w:marTop w:val="0"/>
          <w:marBottom w:val="0"/>
          <w:divBdr>
            <w:top w:val="none" w:sz="0" w:space="0" w:color="auto"/>
            <w:left w:val="none" w:sz="0" w:space="0" w:color="auto"/>
            <w:bottom w:val="none" w:sz="0" w:space="0" w:color="auto"/>
            <w:right w:val="none" w:sz="0" w:space="0" w:color="auto"/>
          </w:divBdr>
          <w:divsChild>
            <w:div w:id="1607273771">
              <w:marLeft w:val="0"/>
              <w:marRight w:val="0"/>
              <w:marTop w:val="0"/>
              <w:marBottom w:val="0"/>
              <w:divBdr>
                <w:top w:val="none" w:sz="0" w:space="0" w:color="auto"/>
                <w:left w:val="none" w:sz="0" w:space="0" w:color="auto"/>
                <w:bottom w:val="none" w:sz="0" w:space="0" w:color="auto"/>
                <w:right w:val="none" w:sz="0" w:space="0" w:color="auto"/>
              </w:divBdr>
              <w:divsChild>
                <w:div w:id="1715278061">
                  <w:marLeft w:val="-300"/>
                  <w:marRight w:val="0"/>
                  <w:marTop w:val="60"/>
                  <w:marBottom w:val="0"/>
                  <w:divBdr>
                    <w:top w:val="none" w:sz="0" w:space="0" w:color="auto"/>
                    <w:left w:val="none" w:sz="0" w:space="0" w:color="auto"/>
                    <w:bottom w:val="none" w:sz="0" w:space="0" w:color="auto"/>
                    <w:right w:val="none" w:sz="0" w:space="0" w:color="auto"/>
                  </w:divBdr>
                </w:div>
              </w:divsChild>
            </w:div>
            <w:div w:id="1448550262">
              <w:marLeft w:val="0"/>
              <w:marRight w:val="0"/>
              <w:marTop w:val="0"/>
              <w:marBottom w:val="0"/>
              <w:divBdr>
                <w:top w:val="none" w:sz="0" w:space="0" w:color="auto"/>
                <w:left w:val="none" w:sz="0" w:space="0" w:color="auto"/>
                <w:bottom w:val="none" w:sz="0" w:space="0" w:color="auto"/>
                <w:right w:val="none" w:sz="0" w:space="0" w:color="auto"/>
              </w:divBdr>
              <w:divsChild>
                <w:div w:id="824586343">
                  <w:marLeft w:val="0"/>
                  <w:marRight w:val="0"/>
                  <w:marTop w:val="0"/>
                  <w:marBottom w:val="0"/>
                  <w:divBdr>
                    <w:top w:val="none" w:sz="0" w:space="0" w:color="auto"/>
                    <w:left w:val="none" w:sz="0" w:space="0" w:color="auto"/>
                    <w:bottom w:val="none" w:sz="0" w:space="0" w:color="auto"/>
                    <w:right w:val="none" w:sz="0" w:space="0" w:color="auto"/>
                  </w:divBdr>
                </w:div>
                <w:div w:id="663703750">
                  <w:marLeft w:val="0"/>
                  <w:marRight w:val="0"/>
                  <w:marTop w:val="0"/>
                  <w:marBottom w:val="0"/>
                  <w:divBdr>
                    <w:top w:val="none" w:sz="0" w:space="0" w:color="auto"/>
                    <w:left w:val="none" w:sz="0" w:space="0" w:color="auto"/>
                    <w:bottom w:val="none" w:sz="0" w:space="0" w:color="auto"/>
                    <w:right w:val="none" w:sz="0" w:space="0" w:color="auto"/>
                  </w:divBdr>
                  <w:divsChild>
                    <w:div w:id="17990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6026">
      <w:bodyDiv w:val="1"/>
      <w:marLeft w:val="0"/>
      <w:marRight w:val="0"/>
      <w:marTop w:val="0"/>
      <w:marBottom w:val="0"/>
      <w:divBdr>
        <w:top w:val="none" w:sz="0" w:space="0" w:color="auto"/>
        <w:left w:val="none" w:sz="0" w:space="0" w:color="auto"/>
        <w:bottom w:val="none" w:sz="0" w:space="0" w:color="auto"/>
        <w:right w:val="none" w:sz="0" w:space="0" w:color="auto"/>
      </w:divBdr>
      <w:divsChild>
        <w:div w:id="419303358">
          <w:marLeft w:val="0"/>
          <w:marRight w:val="0"/>
          <w:marTop w:val="0"/>
          <w:marBottom w:val="0"/>
          <w:divBdr>
            <w:top w:val="none" w:sz="0" w:space="0" w:color="auto"/>
            <w:left w:val="none" w:sz="0" w:space="0" w:color="auto"/>
            <w:bottom w:val="none" w:sz="0" w:space="0" w:color="auto"/>
            <w:right w:val="none" w:sz="0" w:space="0" w:color="auto"/>
          </w:divBdr>
          <w:divsChild>
            <w:div w:id="794058873">
              <w:marLeft w:val="0"/>
              <w:marRight w:val="0"/>
              <w:marTop w:val="0"/>
              <w:marBottom w:val="0"/>
              <w:divBdr>
                <w:top w:val="none" w:sz="0" w:space="0" w:color="auto"/>
                <w:left w:val="none" w:sz="0" w:space="0" w:color="auto"/>
                <w:bottom w:val="none" w:sz="0" w:space="0" w:color="auto"/>
                <w:right w:val="none" w:sz="0" w:space="0" w:color="auto"/>
              </w:divBdr>
              <w:divsChild>
                <w:div w:id="64958372">
                  <w:marLeft w:val="0"/>
                  <w:marRight w:val="0"/>
                  <w:marTop w:val="0"/>
                  <w:marBottom w:val="0"/>
                  <w:divBdr>
                    <w:top w:val="none" w:sz="0" w:space="0" w:color="auto"/>
                    <w:left w:val="none" w:sz="0" w:space="0" w:color="auto"/>
                    <w:bottom w:val="none" w:sz="0" w:space="0" w:color="auto"/>
                    <w:right w:val="none" w:sz="0" w:space="0" w:color="auto"/>
                  </w:divBdr>
                  <w:divsChild>
                    <w:div w:id="6271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148">
          <w:marLeft w:val="0"/>
          <w:marRight w:val="0"/>
          <w:marTop w:val="0"/>
          <w:marBottom w:val="0"/>
          <w:divBdr>
            <w:top w:val="none" w:sz="0" w:space="0" w:color="auto"/>
            <w:left w:val="none" w:sz="0" w:space="0" w:color="auto"/>
            <w:bottom w:val="none" w:sz="0" w:space="0" w:color="auto"/>
            <w:right w:val="none" w:sz="0" w:space="0" w:color="auto"/>
          </w:divBdr>
        </w:div>
        <w:div w:id="321274121">
          <w:marLeft w:val="0"/>
          <w:marRight w:val="0"/>
          <w:marTop w:val="0"/>
          <w:marBottom w:val="0"/>
          <w:divBdr>
            <w:top w:val="none" w:sz="0" w:space="0" w:color="auto"/>
            <w:left w:val="none" w:sz="0" w:space="0" w:color="auto"/>
            <w:bottom w:val="none" w:sz="0" w:space="0" w:color="auto"/>
            <w:right w:val="none" w:sz="0" w:space="0" w:color="auto"/>
          </w:divBdr>
          <w:divsChild>
            <w:div w:id="1217356387">
              <w:marLeft w:val="0"/>
              <w:marRight w:val="0"/>
              <w:marTop w:val="0"/>
              <w:marBottom w:val="0"/>
              <w:divBdr>
                <w:top w:val="none" w:sz="0" w:space="0" w:color="auto"/>
                <w:left w:val="none" w:sz="0" w:space="0" w:color="auto"/>
                <w:bottom w:val="none" w:sz="0" w:space="0" w:color="auto"/>
                <w:right w:val="none" w:sz="0" w:space="0" w:color="auto"/>
              </w:divBdr>
              <w:divsChild>
                <w:div w:id="1833059928">
                  <w:marLeft w:val="-300"/>
                  <w:marRight w:val="0"/>
                  <w:marTop w:val="60"/>
                  <w:marBottom w:val="0"/>
                  <w:divBdr>
                    <w:top w:val="none" w:sz="0" w:space="0" w:color="auto"/>
                    <w:left w:val="none" w:sz="0" w:space="0" w:color="auto"/>
                    <w:bottom w:val="none" w:sz="0" w:space="0" w:color="auto"/>
                    <w:right w:val="none" w:sz="0" w:space="0" w:color="auto"/>
                  </w:divBdr>
                </w:div>
              </w:divsChild>
            </w:div>
            <w:div w:id="1122462781">
              <w:marLeft w:val="0"/>
              <w:marRight w:val="0"/>
              <w:marTop w:val="0"/>
              <w:marBottom w:val="0"/>
              <w:divBdr>
                <w:top w:val="none" w:sz="0" w:space="0" w:color="auto"/>
                <w:left w:val="none" w:sz="0" w:space="0" w:color="auto"/>
                <w:bottom w:val="none" w:sz="0" w:space="0" w:color="auto"/>
                <w:right w:val="none" w:sz="0" w:space="0" w:color="auto"/>
              </w:divBdr>
              <w:divsChild>
                <w:div w:id="430321622">
                  <w:marLeft w:val="0"/>
                  <w:marRight w:val="0"/>
                  <w:marTop w:val="0"/>
                  <w:marBottom w:val="0"/>
                  <w:divBdr>
                    <w:top w:val="none" w:sz="0" w:space="0" w:color="auto"/>
                    <w:left w:val="none" w:sz="0" w:space="0" w:color="auto"/>
                    <w:bottom w:val="none" w:sz="0" w:space="0" w:color="auto"/>
                    <w:right w:val="none" w:sz="0" w:space="0" w:color="auto"/>
                  </w:divBdr>
                </w:div>
                <w:div w:id="1849441503">
                  <w:marLeft w:val="0"/>
                  <w:marRight w:val="0"/>
                  <w:marTop w:val="0"/>
                  <w:marBottom w:val="0"/>
                  <w:divBdr>
                    <w:top w:val="none" w:sz="0" w:space="0" w:color="auto"/>
                    <w:left w:val="none" w:sz="0" w:space="0" w:color="auto"/>
                    <w:bottom w:val="none" w:sz="0" w:space="0" w:color="auto"/>
                    <w:right w:val="none" w:sz="0" w:space="0" w:color="auto"/>
                  </w:divBdr>
                  <w:divsChild>
                    <w:div w:id="13070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15629">
      <w:bodyDiv w:val="1"/>
      <w:marLeft w:val="0"/>
      <w:marRight w:val="0"/>
      <w:marTop w:val="0"/>
      <w:marBottom w:val="0"/>
      <w:divBdr>
        <w:top w:val="none" w:sz="0" w:space="0" w:color="auto"/>
        <w:left w:val="none" w:sz="0" w:space="0" w:color="auto"/>
        <w:bottom w:val="none" w:sz="0" w:space="0" w:color="auto"/>
        <w:right w:val="none" w:sz="0" w:space="0" w:color="auto"/>
      </w:divBdr>
      <w:divsChild>
        <w:div w:id="1433747192">
          <w:marLeft w:val="0"/>
          <w:marRight w:val="0"/>
          <w:marTop w:val="0"/>
          <w:marBottom w:val="0"/>
          <w:divBdr>
            <w:top w:val="none" w:sz="0" w:space="0" w:color="auto"/>
            <w:left w:val="none" w:sz="0" w:space="0" w:color="auto"/>
            <w:bottom w:val="none" w:sz="0" w:space="0" w:color="auto"/>
            <w:right w:val="none" w:sz="0" w:space="0" w:color="auto"/>
          </w:divBdr>
          <w:divsChild>
            <w:div w:id="839274077">
              <w:marLeft w:val="0"/>
              <w:marRight w:val="0"/>
              <w:marTop w:val="0"/>
              <w:marBottom w:val="0"/>
              <w:divBdr>
                <w:top w:val="none" w:sz="0" w:space="0" w:color="auto"/>
                <w:left w:val="none" w:sz="0" w:space="0" w:color="auto"/>
                <w:bottom w:val="none" w:sz="0" w:space="0" w:color="auto"/>
                <w:right w:val="none" w:sz="0" w:space="0" w:color="auto"/>
              </w:divBdr>
              <w:divsChild>
                <w:div w:id="1869903588">
                  <w:marLeft w:val="0"/>
                  <w:marRight w:val="0"/>
                  <w:marTop w:val="0"/>
                  <w:marBottom w:val="0"/>
                  <w:divBdr>
                    <w:top w:val="none" w:sz="0" w:space="0" w:color="auto"/>
                    <w:left w:val="none" w:sz="0" w:space="0" w:color="auto"/>
                    <w:bottom w:val="none" w:sz="0" w:space="0" w:color="auto"/>
                    <w:right w:val="none" w:sz="0" w:space="0" w:color="auto"/>
                  </w:divBdr>
                  <w:divsChild>
                    <w:div w:id="15432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4154">
          <w:marLeft w:val="0"/>
          <w:marRight w:val="0"/>
          <w:marTop w:val="0"/>
          <w:marBottom w:val="0"/>
          <w:divBdr>
            <w:top w:val="none" w:sz="0" w:space="0" w:color="auto"/>
            <w:left w:val="none" w:sz="0" w:space="0" w:color="auto"/>
            <w:bottom w:val="none" w:sz="0" w:space="0" w:color="auto"/>
            <w:right w:val="none" w:sz="0" w:space="0" w:color="auto"/>
          </w:divBdr>
        </w:div>
        <w:div w:id="666515777">
          <w:marLeft w:val="0"/>
          <w:marRight w:val="0"/>
          <w:marTop w:val="0"/>
          <w:marBottom w:val="0"/>
          <w:divBdr>
            <w:top w:val="none" w:sz="0" w:space="0" w:color="auto"/>
            <w:left w:val="none" w:sz="0" w:space="0" w:color="auto"/>
            <w:bottom w:val="none" w:sz="0" w:space="0" w:color="auto"/>
            <w:right w:val="none" w:sz="0" w:space="0" w:color="auto"/>
          </w:divBdr>
          <w:divsChild>
            <w:div w:id="212885723">
              <w:marLeft w:val="0"/>
              <w:marRight w:val="0"/>
              <w:marTop w:val="0"/>
              <w:marBottom w:val="0"/>
              <w:divBdr>
                <w:top w:val="none" w:sz="0" w:space="0" w:color="auto"/>
                <w:left w:val="none" w:sz="0" w:space="0" w:color="auto"/>
                <w:bottom w:val="none" w:sz="0" w:space="0" w:color="auto"/>
                <w:right w:val="none" w:sz="0" w:space="0" w:color="auto"/>
              </w:divBdr>
              <w:divsChild>
                <w:div w:id="464354223">
                  <w:marLeft w:val="-300"/>
                  <w:marRight w:val="0"/>
                  <w:marTop w:val="60"/>
                  <w:marBottom w:val="0"/>
                  <w:divBdr>
                    <w:top w:val="none" w:sz="0" w:space="0" w:color="auto"/>
                    <w:left w:val="none" w:sz="0" w:space="0" w:color="auto"/>
                    <w:bottom w:val="none" w:sz="0" w:space="0" w:color="auto"/>
                    <w:right w:val="none" w:sz="0" w:space="0" w:color="auto"/>
                  </w:divBdr>
                </w:div>
              </w:divsChild>
            </w:div>
            <w:div w:id="719207639">
              <w:marLeft w:val="0"/>
              <w:marRight w:val="0"/>
              <w:marTop w:val="0"/>
              <w:marBottom w:val="0"/>
              <w:divBdr>
                <w:top w:val="none" w:sz="0" w:space="0" w:color="auto"/>
                <w:left w:val="none" w:sz="0" w:space="0" w:color="auto"/>
                <w:bottom w:val="none" w:sz="0" w:space="0" w:color="auto"/>
                <w:right w:val="none" w:sz="0" w:space="0" w:color="auto"/>
              </w:divBdr>
              <w:divsChild>
                <w:div w:id="1436361586">
                  <w:marLeft w:val="0"/>
                  <w:marRight w:val="0"/>
                  <w:marTop w:val="0"/>
                  <w:marBottom w:val="0"/>
                  <w:divBdr>
                    <w:top w:val="none" w:sz="0" w:space="0" w:color="auto"/>
                    <w:left w:val="none" w:sz="0" w:space="0" w:color="auto"/>
                    <w:bottom w:val="none" w:sz="0" w:space="0" w:color="auto"/>
                    <w:right w:val="none" w:sz="0" w:space="0" w:color="auto"/>
                  </w:divBdr>
                </w:div>
                <w:div w:id="1264146371">
                  <w:marLeft w:val="0"/>
                  <w:marRight w:val="0"/>
                  <w:marTop w:val="0"/>
                  <w:marBottom w:val="0"/>
                  <w:divBdr>
                    <w:top w:val="none" w:sz="0" w:space="0" w:color="auto"/>
                    <w:left w:val="none" w:sz="0" w:space="0" w:color="auto"/>
                    <w:bottom w:val="none" w:sz="0" w:space="0" w:color="auto"/>
                    <w:right w:val="none" w:sz="0" w:space="0" w:color="auto"/>
                  </w:divBdr>
                  <w:divsChild>
                    <w:div w:id="1647541809">
                      <w:marLeft w:val="0"/>
                      <w:marRight w:val="0"/>
                      <w:marTop w:val="0"/>
                      <w:marBottom w:val="0"/>
                      <w:divBdr>
                        <w:top w:val="none" w:sz="0" w:space="0" w:color="auto"/>
                        <w:left w:val="none" w:sz="0" w:space="0" w:color="auto"/>
                        <w:bottom w:val="none" w:sz="0" w:space="0" w:color="auto"/>
                        <w:right w:val="none" w:sz="0" w:space="0" w:color="auto"/>
                      </w:divBdr>
                    </w:div>
                  </w:divsChild>
                </w:div>
                <w:div w:id="1782457225">
                  <w:marLeft w:val="0"/>
                  <w:marRight w:val="0"/>
                  <w:marTop w:val="0"/>
                  <w:marBottom w:val="0"/>
                  <w:divBdr>
                    <w:top w:val="none" w:sz="0" w:space="0" w:color="auto"/>
                    <w:left w:val="none" w:sz="0" w:space="0" w:color="auto"/>
                    <w:bottom w:val="none" w:sz="0" w:space="0" w:color="auto"/>
                    <w:right w:val="none" w:sz="0" w:space="0" w:color="auto"/>
                  </w:divBdr>
                </w:div>
                <w:div w:id="516699701">
                  <w:marLeft w:val="0"/>
                  <w:marRight w:val="0"/>
                  <w:marTop w:val="0"/>
                  <w:marBottom w:val="0"/>
                  <w:divBdr>
                    <w:top w:val="none" w:sz="0" w:space="0" w:color="auto"/>
                    <w:left w:val="none" w:sz="0" w:space="0" w:color="auto"/>
                    <w:bottom w:val="none" w:sz="0" w:space="0" w:color="auto"/>
                    <w:right w:val="none" w:sz="0" w:space="0" w:color="auto"/>
                  </w:divBdr>
                  <w:divsChild>
                    <w:div w:id="14905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9324">
      <w:bodyDiv w:val="1"/>
      <w:marLeft w:val="0"/>
      <w:marRight w:val="0"/>
      <w:marTop w:val="0"/>
      <w:marBottom w:val="0"/>
      <w:divBdr>
        <w:top w:val="none" w:sz="0" w:space="0" w:color="auto"/>
        <w:left w:val="none" w:sz="0" w:space="0" w:color="auto"/>
        <w:bottom w:val="none" w:sz="0" w:space="0" w:color="auto"/>
        <w:right w:val="none" w:sz="0" w:space="0" w:color="auto"/>
      </w:divBdr>
      <w:divsChild>
        <w:div w:id="1260872461">
          <w:marLeft w:val="0"/>
          <w:marRight w:val="0"/>
          <w:marTop w:val="0"/>
          <w:marBottom w:val="0"/>
          <w:divBdr>
            <w:top w:val="none" w:sz="0" w:space="0" w:color="auto"/>
            <w:left w:val="none" w:sz="0" w:space="0" w:color="auto"/>
            <w:bottom w:val="none" w:sz="0" w:space="0" w:color="auto"/>
            <w:right w:val="none" w:sz="0" w:space="0" w:color="auto"/>
          </w:divBdr>
          <w:divsChild>
            <w:div w:id="342368026">
              <w:marLeft w:val="0"/>
              <w:marRight w:val="0"/>
              <w:marTop w:val="0"/>
              <w:marBottom w:val="0"/>
              <w:divBdr>
                <w:top w:val="none" w:sz="0" w:space="0" w:color="auto"/>
                <w:left w:val="none" w:sz="0" w:space="0" w:color="auto"/>
                <w:bottom w:val="none" w:sz="0" w:space="0" w:color="auto"/>
                <w:right w:val="none" w:sz="0" w:space="0" w:color="auto"/>
              </w:divBdr>
              <w:divsChild>
                <w:div w:id="293603786">
                  <w:marLeft w:val="0"/>
                  <w:marRight w:val="0"/>
                  <w:marTop w:val="0"/>
                  <w:marBottom w:val="0"/>
                  <w:divBdr>
                    <w:top w:val="none" w:sz="0" w:space="0" w:color="auto"/>
                    <w:left w:val="none" w:sz="0" w:space="0" w:color="auto"/>
                    <w:bottom w:val="none" w:sz="0" w:space="0" w:color="auto"/>
                    <w:right w:val="none" w:sz="0" w:space="0" w:color="auto"/>
                  </w:divBdr>
                  <w:divsChild>
                    <w:div w:id="11640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8503">
          <w:marLeft w:val="0"/>
          <w:marRight w:val="0"/>
          <w:marTop w:val="0"/>
          <w:marBottom w:val="0"/>
          <w:divBdr>
            <w:top w:val="none" w:sz="0" w:space="0" w:color="auto"/>
            <w:left w:val="none" w:sz="0" w:space="0" w:color="auto"/>
            <w:bottom w:val="none" w:sz="0" w:space="0" w:color="auto"/>
            <w:right w:val="none" w:sz="0" w:space="0" w:color="auto"/>
          </w:divBdr>
        </w:div>
        <w:div w:id="446509594">
          <w:marLeft w:val="0"/>
          <w:marRight w:val="0"/>
          <w:marTop w:val="0"/>
          <w:marBottom w:val="0"/>
          <w:divBdr>
            <w:top w:val="none" w:sz="0" w:space="0" w:color="auto"/>
            <w:left w:val="none" w:sz="0" w:space="0" w:color="auto"/>
            <w:bottom w:val="none" w:sz="0" w:space="0" w:color="auto"/>
            <w:right w:val="none" w:sz="0" w:space="0" w:color="auto"/>
          </w:divBdr>
          <w:divsChild>
            <w:div w:id="855122676">
              <w:marLeft w:val="0"/>
              <w:marRight w:val="0"/>
              <w:marTop w:val="0"/>
              <w:marBottom w:val="0"/>
              <w:divBdr>
                <w:top w:val="none" w:sz="0" w:space="0" w:color="auto"/>
                <w:left w:val="none" w:sz="0" w:space="0" w:color="auto"/>
                <w:bottom w:val="none" w:sz="0" w:space="0" w:color="auto"/>
                <w:right w:val="none" w:sz="0" w:space="0" w:color="auto"/>
              </w:divBdr>
              <w:divsChild>
                <w:div w:id="959805583">
                  <w:marLeft w:val="-300"/>
                  <w:marRight w:val="0"/>
                  <w:marTop w:val="60"/>
                  <w:marBottom w:val="0"/>
                  <w:divBdr>
                    <w:top w:val="none" w:sz="0" w:space="0" w:color="auto"/>
                    <w:left w:val="none" w:sz="0" w:space="0" w:color="auto"/>
                    <w:bottom w:val="none" w:sz="0" w:space="0" w:color="auto"/>
                    <w:right w:val="none" w:sz="0" w:space="0" w:color="auto"/>
                  </w:divBdr>
                </w:div>
              </w:divsChild>
            </w:div>
            <w:div w:id="2040743758">
              <w:marLeft w:val="0"/>
              <w:marRight w:val="0"/>
              <w:marTop w:val="0"/>
              <w:marBottom w:val="0"/>
              <w:divBdr>
                <w:top w:val="none" w:sz="0" w:space="0" w:color="auto"/>
                <w:left w:val="none" w:sz="0" w:space="0" w:color="auto"/>
                <w:bottom w:val="none" w:sz="0" w:space="0" w:color="auto"/>
                <w:right w:val="none" w:sz="0" w:space="0" w:color="auto"/>
              </w:divBdr>
              <w:divsChild>
                <w:div w:id="146014294">
                  <w:marLeft w:val="0"/>
                  <w:marRight w:val="0"/>
                  <w:marTop w:val="0"/>
                  <w:marBottom w:val="0"/>
                  <w:divBdr>
                    <w:top w:val="none" w:sz="0" w:space="0" w:color="auto"/>
                    <w:left w:val="none" w:sz="0" w:space="0" w:color="auto"/>
                    <w:bottom w:val="none" w:sz="0" w:space="0" w:color="auto"/>
                    <w:right w:val="none" w:sz="0" w:space="0" w:color="auto"/>
                  </w:divBdr>
                </w:div>
                <w:div w:id="1721439807">
                  <w:marLeft w:val="0"/>
                  <w:marRight w:val="0"/>
                  <w:marTop w:val="0"/>
                  <w:marBottom w:val="0"/>
                  <w:divBdr>
                    <w:top w:val="none" w:sz="0" w:space="0" w:color="auto"/>
                    <w:left w:val="none" w:sz="0" w:space="0" w:color="auto"/>
                    <w:bottom w:val="none" w:sz="0" w:space="0" w:color="auto"/>
                    <w:right w:val="none" w:sz="0" w:space="0" w:color="auto"/>
                  </w:divBdr>
                  <w:divsChild>
                    <w:div w:id="20031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36106">
      <w:bodyDiv w:val="1"/>
      <w:marLeft w:val="0"/>
      <w:marRight w:val="0"/>
      <w:marTop w:val="0"/>
      <w:marBottom w:val="0"/>
      <w:divBdr>
        <w:top w:val="none" w:sz="0" w:space="0" w:color="auto"/>
        <w:left w:val="none" w:sz="0" w:space="0" w:color="auto"/>
        <w:bottom w:val="none" w:sz="0" w:space="0" w:color="auto"/>
        <w:right w:val="none" w:sz="0" w:space="0" w:color="auto"/>
      </w:divBdr>
    </w:div>
    <w:div w:id="903107415">
      <w:bodyDiv w:val="1"/>
      <w:marLeft w:val="0"/>
      <w:marRight w:val="0"/>
      <w:marTop w:val="0"/>
      <w:marBottom w:val="0"/>
      <w:divBdr>
        <w:top w:val="none" w:sz="0" w:space="0" w:color="auto"/>
        <w:left w:val="none" w:sz="0" w:space="0" w:color="auto"/>
        <w:bottom w:val="none" w:sz="0" w:space="0" w:color="auto"/>
        <w:right w:val="none" w:sz="0" w:space="0" w:color="auto"/>
      </w:divBdr>
      <w:divsChild>
        <w:div w:id="900293931">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838693986">
                  <w:marLeft w:val="0"/>
                  <w:marRight w:val="0"/>
                  <w:marTop w:val="0"/>
                  <w:marBottom w:val="0"/>
                  <w:divBdr>
                    <w:top w:val="none" w:sz="0" w:space="0" w:color="auto"/>
                    <w:left w:val="none" w:sz="0" w:space="0" w:color="auto"/>
                    <w:bottom w:val="none" w:sz="0" w:space="0" w:color="auto"/>
                    <w:right w:val="none" w:sz="0" w:space="0" w:color="auto"/>
                  </w:divBdr>
                  <w:divsChild>
                    <w:div w:id="1994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4153">
          <w:marLeft w:val="0"/>
          <w:marRight w:val="0"/>
          <w:marTop w:val="0"/>
          <w:marBottom w:val="0"/>
          <w:divBdr>
            <w:top w:val="none" w:sz="0" w:space="0" w:color="auto"/>
            <w:left w:val="none" w:sz="0" w:space="0" w:color="auto"/>
            <w:bottom w:val="none" w:sz="0" w:space="0" w:color="auto"/>
            <w:right w:val="none" w:sz="0" w:space="0" w:color="auto"/>
          </w:divBdr>
        </w:div>
        <w:div w:id="2130590308">
          <w:marLeft w:val="0"/>
          <w:marRight w:val="0"/>
          <w:marTop w:val="0"/>
          <w:marBottom w:val="0"/>
          <w:divBdr>
            <w:top w:val="none" w:sz="0" w:space="0" w:color="auto"/>
            <w:left w:val="none" w:sz="0" w:space="0" w:color="auto"/>
            <w:bottom w:val="none" w:sz="0" w:space="0" w:color="auto"/>
            <w:right w:val="none" w:sz="0" w:space="0" w:color="auto"/>
          </w:divBdr>
          <w:divsChild>
            <w:div w:id="612399566">
              <w:marLeft w:val="0"/>
              <w:marRight w:val="0"/>
              <w:marTop w:val="0"/>
              <w:marBottom w:val="0"/>
              <w:divBdr>
                <w:top w:val="none" w:sz="0" w:space="0" w:color="auto"/>
                <w:left w:val="none" w:sz="0" w:space="0" w:color="auto"/>
                <w:bottom w:val="none" w:sz="0" w:space="0" w:color="auto"/>
                <w:right w:val="none" w:sz="0" w:space="0" w:color="auto"/>
              </w:divBdr>
              <w:divsChild>
                <w:div w:id="925378707">
                  <w:marLeft w:val="-300"/>
                  <w:marRight w:val="0"/>
                  <w:marTop w:val="60"/>
                  <w:marBottom w:val="0"/>
                  <w:divBdr>
                    <w:top w:val="none" w:sz="0" w:space="0" w:color="auto"/>
                    <w:left w:val="none" w:sz="0" w:space="0" w:color="auto"/>
                    <w:bottom w:val="none" w:sz="0" w:space="0" w:color="auto"/>
                    <w:right w:val="none" w:sz="0" w:space="0" w:color="auto"/>
                  </w:divBdr>
                </w:div>
              </w:divsChild>
            </w:div>
            <w:div w:id="143276149">
              <w:marLeft w:val="0"/>
              <w:marRight w:val="0"/>
              <w:marTop w:val="0"/>
              <w:marBottom w:val="0"/>
              <w:divBdr>
                <w:top w:val="none" w:sz="0" w:space="0" w:color="auto"/>
                <w:left w:val="none" w:sz="0" w:space="0" w:color="auto"/>
                <w:bottom w:val="none" w:sz="0" w:space="0" w:color="auto"/>
                <w:right w:val="none" w:sz="0" w:space="0" w:color="auto"/>
              </w:divBdr>
              <w:divsChild>
                <w:div w:id="281494925">
                  <w:marLeft w:val="0"/>
                  <w:marRight w:val="0"/>
                  <w:marTop w:val="0"/>
                  <w:marBottom w:val="0"/>
                  <w:divBdr>
                    <w:top w:val="none" w:sz="0" w:space="0" w:color="auto"/>
                    <w:left w:val="none" w:sz="0" w:space="0" w:color="auto"/>
                    <w:bottom w:val="none" w:sz="0" w:space="0" w:color="auto"/>
                    <w:right w:val="none" w:sz="0" w:space="0" w:color="auto"/>
                  </w:divBdr>
                </w:div>
                <w:div w:id="1698893775">
                  <w:marLeft w:val="0"/>
                  <w:marRight w:val="0"/>
                  <w:marTop w:val="0"/>
                  <w:marBottom w:val="0"/>
                  <w:divBdr>
                    <w:top w:val="none" w:sz="0" w:space="0" w:color="auto"/>
                    <w:left w:val="none" w:sz="0" w:space="0" w:color="auto"/>
                    <w:bottom w:val="none" w:sz="0" w:space="0" w:color="auto"/>
                    <w:right w:val="none" w:sz="0" w:space="0" w:color="auto"/>
                  </w:divBdr>
                  <w:divsChild>
                    <w:div w:id="15429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5872">
      <w:bodyDiv w:val="1"/>
      <w:marLeft w:val="0"/>
      <w:marRight w:val="0"/>
      <w:marTop w:val="0"/>
      <w:marBottom w:val="0"/>
      <w:divBdr>
        <w:top w:val="none" w:sz="0" w:space="0" w:color="auto"/>
        <w:left w:val="none" w:sz="0" w:space="0" w:color="auto"/>
        <w:bottom w:val="none" w:sz="0" w:space="0" w:color="auto"/>
        <w:right w:val="none" w:sz="0" w:space="0" w:color="auto"/>
      </w:divBdr>
    </w:div>
    <w:div w:id="1013415875">
      <w:bodyDiv w:val="1"/>
      <w:marLeft w:val="0"/>
      <w:marRight w:val="0"/>
      <w:marTop w:val="0"/>
      <w:marBottom w:val="0"/>
      <w:divBdr>
        <w:top w:val="none" w:sz="0" w:space="0" w:color="auto"/>
        <w:left w:val="none" w:sz="0" w:space="0" w:color="auto"/>
        <w:bottom w:val="none" w:sz="0" w:space="0" w:color="auto"/>
        <w:right w:val="none" w:sz="0" w:space="0" w:color="auto"/>
      </w:divBdr>
      <w:divsChild>
        <w:div w:id="1939823559">
          <w:marLeft w:val="0"/>
          <w:marRight w:val="0"/>
          <w:marTop w:val="0"/>
          <w:marBottom w:val="0"/>
          <w:divBdr>
            <w:top w:val="none" w:sz="0" w:space="0" w:color="auto"/>
            <w:left w:val="none" w:sz="0" w:space="0" w:color="auto"/>
            <w:bottom w:val="none" w:sz="0" w:space="0" w:color="auto"/>
            <w:right w:val="none" w:sz="0" w:space="0" w:color="auto"/>
          </w:divBdr>
          <w:divsChild>
            <w:div w:id="2023360712">
              <w:marLeft w:val="0"/>
              <w:marRight w:val="0"/>
              <w:marTop w:val="0"/>
              <w:marBottom w:val="0"/>
              <w:divBdr>
                <w:top w:val="none" w:sz="0" w:space="0" w:color="auto"/>
                <w:left w:val="none" w:sz="0" w:space="0" w:color="auto"/>
                <w:bottom w:val="none" w:sz="0" w:space="0" w:color="auto"/>
                <w:right w:val="none" w:sz="0" w:space="0" w:color="auto"/>
              </w:divBdr>
              <w:divsChild>
                <w:div w:id="105586720">
                  <w:marLeft w:val="0"/>
                  <w:marRight w:val="0"/>
                  <w:marTop w:val="0"/>
                  <w:marBottom w:val="0"/>
                  <w:divBdr>
                    <w:top w:val="none" w:sz="0" w:space="0" w:color="auto"/>
                    <w:left w:val="none" w:sz="0" w:space="0" w:color="auto"/>
                    <w:bottom w:val="none" w:sz="0" w:space="0" w:color="auto"/>
                    <w:right w:val="none" w:sz="0" w:space="0" w:color="auto"/>
                  </w:divBdr>
                  <w:divsChild>
                    <w:div w:id="2704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2091">
          <w:marLeft w:val="0"/>
          <w:marRight w:val="0"/>
          <w:marTop w:val="0"/>
          <w:marBottom w:val="0"/>
          <w:divBdr>
            <w:top w:val="none" w:sz="0" w:space="0" w:color="auto"/>
            <w:left w:val="none" w:sz="0" w:space="0" w:color="auto"/>
            <w:bottom w:val="none" w:sz="0" w:space="0" w:color="auto"/>
            <w:right w:val="none" w:sz="0" w:space="0" w:color="auto"/>
          </w:divBdr>
        </w:div>
        <w:div w:id="1156454650">
          <w:marLeft w:val="0"/>
          <w:marRight w:val="0"/>
          <w:marTop w:val="0"/>
          <w:marBottom w:val="0"/>
          <w:divBdr>
            <w:top w:val="none" w:sz="0" w:space="0" w:color="auto"/>
            <w:left w:val="none" w:sz="0" w:space="0" w:color="auto"/>
            <w:bottom w:val="none" w:sz="0" w:space="0" w:color="auto"/>
            <w:right w:val="none" w:sz="0" w:space="0" w:color="auto"/>
          </w:divBdr>
          <w:divsChild>
            <w:div w:id="1240485798">
              <w:marLeft w:val="0"/>
              <w:marRight w:val="0"/>
              <w:marTop w:val="0"/>
              <w:marBottom w:val="0"/>
              <w:divBdr>
                <w:top w:val="none" w:sz="0" w:space="0" w:color="auto"/>
                <w:left w:val="none" w:sz="0" w:space="0" w:color="auto"/>
                <w:bottom w:val="none" w:sz="0" w:space="0" w:color="auto"/>
                <w:right w:val="none" w:sz="0" w:space="0" w:color="auto"/>
              </w:divBdr>
              <w:divsChild>
                <w:div w:id="876040833">
                  <w:marLeft w:val="-300"/>
                  <w:marRight w:val="0"/>
                  <w:marTop w:val="60"/>
                  <w:marBottom w:val="0"/>
                  <w:divBdr>
                    <w:top w:val="none" w:sz="0" w:space="0" w:color="auto"/>
                    <w:left w:val="none" w:sz="0" w:space="0" w:color="auto"/>
                    <w:bottom w:val="none" w:sz="0" w:space="0" w:color="auto"/>
                    <w:right w:val="none" w:sz="0" w:space="0" w:color="auto"/>
                  </w:divBdr>
                </w:div>
              </w:divsChild>
            </w:div>
            <w:div w:id="398021586">
              <w:marLeft w:val="0"/>
              <w:marRight w:val="0"/>
              <w:marTop w:val="0"/>
              <w:marBottom w:val="0"/>
              <w:divBdr>
                <w:top w:val="none" w:sz="0" w:space="0" w:color="auto"/>
                <w:left w:val="none" w:sz="0" w:space="0" w:color="auto"/>
                <w:bottom w:val="none" w:sz="0" w:space="0" w:color="auto"/>
                <w:right w:val="none" w:sz="0" w:space="0" w:color="auto"/>
              </w:divBdr>
              <w:divsChild>
                <w:div w:id="1126579932">
                  <w:marLeft w:val="0"/>
                  <w:marRight w:val="0"/>
                  <w:marTop w:val="0"/>
                  <w:marBottom w:val="0"/>
                  <w:divBdr>
                    <w:top w:val="none" w:sz="0" w:space="0" w:color="auto"/>
                    <w:left w:val="none" w:sz="0" w:space="0" w:color="auto"/>
                    <w:bottom w:val="none" w:sz="0" w:space="0" w:color="auto"/>
                    <w:right w:val="none" w:sz="0" w:space="0" w:color="auto"/>
                  </w:divBdr>
                </w:div>
                <w:div w:id="533621391">
                  <w:marLeft w:val="0"/>
                  <w:marRight w:val="0"/>
                  <w:marTop w:val="0"/>
                  <w:marBottom w:val="0"/>
                  <w:divBdr>
                    <w:top w:val="none" w:sz="0" w:space="0" w:color="auto"/>
                    <w:left w:val="none" w:sz="0" w:space="0" w:color="auto"/>
                    <w:bottom w:val="none" w:sz="0" w:space="0" w:color="auto"/>
                    <w:right w:val="none" w:sz="0" w:space="0" w:color="auto"/>
                  </w:divBdr>
                  <w:divsChild>
                    <w:div w:id="531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30914">
      <w:bodyDiv w:val="1"/>
      <w:marLeft w:val="0"/>
      <w:marRight w:val="0"/>
      <w:marTop w:val="0"/>
      <w:marBottom w:val="0"/>
      <w:divBdr>
        <w:top w:val="none" w:sz="0" w:space="0" w:color="auto"/>
        <w:left w:val="none" w:sz="0" w:space="0" w:color="auto"/>
        <w:bottom w:val="none" w:sz="0" w:space="0" w:color="auto"/>
        <w:right w:val="none" w:sz="0" w:space="0" w:color="auto"/>
      </w:divBdr>
    </w:div>
    <w:div w:id="1284769251">
      <w:bodyDiv w:val="1"/>
      <w:marLeft w:val="0"/>
      <w:marRight w:val="0"/>
      <w:marTop w:val="0"/>
      <w:marBottom w:val="0"/>
      <w:divBdr>
        <w:top w:val="none" w:sz="0" w:space="0" w:color="auto"/>
        <w:left w:val="none" w:sz="0" w:space="0" w:color="auto"/>
        <w:bottom w:val="none" w:sz="0" w:space="0" w:color="auto"/>
        <w:right w:val="none" w:sz="0" w:space="0" w:color="auto"/>
      </w:divBdr>
      <w:divsChild>
        <w:div w:id="1697193022">
          <w:marLeft w:val="0"/>
          <w:marRight w:val="0"/>
          <w:marTop w:val="0"/>
          <w:marBottom w:val="0"/>
          <w:divBdr>
            <w:top w:val="none" w:sz="0" w:space="0" w:color="auto"/>
            <w:left w:val="none" w:sz="0" w:space="0" w:color="auto"/>
            <w:bottom w:val="none" w:sz="0" w:space="0" w:color="auto"/>
            <w:right w:val="none" w:sz="0" w:space="0" w:color="auto"/>
          </w:divBdr>
          <w:divsChild>
            <w:div w:id="230847228">
              <w:marLeft w:val="0"/>
              <w:marRight w:val="0"/>
              <w:marTop w:val="0"/>
              <w:marBottom w:val="0"/>
              <w:divBdr>
                <w:top w:val="none" w:sz="0" w:space="0" w:color="auto"/>
                <w:left w:val="none" w:sz="0" w:space="0" w:color="auto"/>
                <w:bottom w:val="none" w:sz="0" w:space="0" w:color="auto"/>
                <w:right w:val="none" w:sz="0" w:space="0" w:color="auto"/>
              </w:divBdr>
              <w:divsChild>
                <w:div w:id="425884861">
                  <w:marLeft w:val="0"/>
                  <w:marRight w:val="0"/>
                  <w:marTop w:val="0"/>
                  <w:marBottom w:val="0"/>
                  <w:divBdr>
                    <w:top w:val="none" w:sz="0" w:space="0" w:color="auto"/>
                    <w:left w:val="none" w:sz="0" w:space="0" w:color="auto"/>
                    <w:bottom w:val="none" w:sz="0" w:space="0" w:color="auto"/>
                    <w:right w:val="none" w:sz="0" w:space="0" w:color="auto"/>
                  </w:divBdr>
                  <w:divsChild>
                    <w:div w:id="7750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4107">
          <w:marLeft w:val="0"/>
          <w:marRight w:val="0"/>
          <w:marTop w:val="0"/>
          <w:marBottom w:val="0"/>
          <w:divBdr>
            <w:top w:val="none" w:sz="0" w:space="0" w:color="auto"/>
            <w:left w:val="none" w:sz="0" w:space="0" w:color="auto"/>
            <w:bottom w:val="none" w:sz="0" w:space="0" w:color="auto"/>
            <w:right w:val="none" w:sz="0" w:space="0" w:color="auto"/>
          </w:divBdr>
        </w:div>
        <w:div w:id="324210774">
          <w:marLeft w:val="0"/>
          <w:marRight w:val="0"/>
          <w:marTop w:val="0"/>
          <w:marBottom w:val="0"/>
          <w:divBdr>
            <w:top w:val="none" w:sz="0" w:space="0" w:color="auto"/>
            <w:left w:val="none" w:sz="0" w:space="0" w:color="auto"/>
            <w:bottom w:val="none" w:sz="0" w:space="0" w:color="auto"/>
            <w:right w:val="none" w:sz="0" w:space="0" w:color="auto"/>
          </w:divBdr>
          <w:divsChild>
            <w:div w:id="1396128814">
              <w:marLeft w:val="0"/>
              <w:marRight w:val="0"/>
              <w:marTop w:val="0"/>
              <w:marBottom w:val="0"/>
              <w:divBdr>
                <w:top w:val="none" w:sz="0" w:space="0" w:color="auto"/>
                <w:left w:val="none" w:sz="0" w:space="0" w:color="auto"/>
                <w:bottom w:val="none" w:sz="0" w:space="0" w:color="auto"/>
                <w:right w:val="none" w:sz="0" w:space="0" w:color="auto"/>
              </w:divBdr>
              <w:divsChild>
                <w:div w:id="825363259">
                  <w:marLeft w:val="-300"/>
                  <w:marRight w:val="0"/>
                  <w:marTop w:val="60"/>
                  <w:marBottom w:val="0"/>
                  <w:divBdr>
                    <w:top w:val="none" w:sz="0" w:space="0" w:color="auto"/>
                    <w:left w:val="none" w:sz="0" w:space="0" w:color="auto"/>
                    <w:bottom w:val="none" w:sz="0" w:space="0" w:color="auto"/>
                    <w:right w:val="none" w:sz="0" w:space="0" w:color="auto"/>
                  </w:divBdr>
                </w:div>
              </w:divsChild>
            </w:div>
            <w:div w:id="645361375">
              <w:marLeft w:val="0"/>
              <w:marRight w:val="0"/>
              <w:marTop w:val="0"/>
              <w:marBottom w:val="0"/>
              <w:divBdr>
                <w:top w:val="none" w:sz="0" w:space="0" w:color="auto"/>
                <w:left w:val="none" w:sz="0" w:space="0" w:color="auto"/>
                <w:bottom w:val="none" w:sz="0" w:space="0" w:color="auto"/>
                <w:right w:val="none" w:sz="0" w:space="0" w:color="auto"/>
              </w:divBdr>
              <w:divsChild>
                <w:div w:id="1203128994">
                  <w:marLeft w:val="0"/>
                  <w:marRight w:val="0"/>
                  <w:marTop w:val="0"/>
                  <w:marBottom w:val="0"/>
                  <w:divBdr>
                    <w:top w:val="none" w:sz="0" w:space="0" w:color="auto"/>
                    <w:left w:val="none" w:sz="0" w:space="0" w:color="auto"/>
                    <w:bottom w:val="none" w:sz="0" w:space="0" w:color="auto"/>
                    <w:right w:val="none" w:sz="0" w:space="0" w:color="auto"/>
                  </w:divBdr>
                </w:div>
                <w:div w:id="1270239275">
                  <w:marLeft w:val="0"/>
                  <w:marRight w:val="0"/>
                  <w:marTop w:val="0"/>
                  <w:marBottom w:val="0"/>
                  <w:divBdr>
                    <w:top w:val="none" w:sz="0" w:space="0" w:color="auto"/>
                    <w:left w:val="none" w:sz="0" w:space="0" w:color="auto"/>
                    <w:bottom w:val="none" w:sz="0" w:space="0" w:color="auto"/>
                    <w:right w:val="none" w:sz="0" w:space="0" w:color="auto"/>
                  </w:divBdr>
                  <w:divsChild>
                    <w:div w:id="12031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4512">
      <w:bodyDiv w:val="1"/>
      <w:marLeft w:val="0"/>
      <w:marRight w:val="0"/>
      <w:marTop w:val="0"/>
      <w:marBottom w:val="0"/>
      <w:divBdr>
        <w:top w:val="none" w:sz="0" w:space="0" w:color="auto"/>
        <w:left w:val="none" w:sz="0" w:space="0" w:color="auto"/>
        <w:bottom w:val="none" w:sz="0" w:space="0" w:color="auto"/>
        <w:right w:val="none" w:sz="0" w:space="0" w:color="auto"/>
      </w:divBdr>
      <w:divsChild>
        <w:div w:id="1391541074">
          <w:marLeft w:val="0"/>
          <w:marRight w:val="0"/>
          <w:marTop w:val="0"/>
          <w:marBottom w:val="0"/>
          <w:divBdr>
            <w:top w:val="none" w:sz="0" w:space="0" w:color="auto"/>
            <w:left w:val="none" w:sz="0" w:space="0" w:color="auto"/>
            <w:bottom w:val="none" w:sz="0" w:space="0" w:color="auto"/>
            <w:right w:val="none" w:sz="0" w:space="0" w:color="auto"/>
          </w:divBdr>
          <w:divsChild>
            <w:div w:id="202596181">
              <w:marLeft w:val="0"/>
              <w:marRight w:val="0"/>
              <w:marTop w:val="0"/>
              <w:marBottom w:val="0"/>
              <w:divBdr>
                <w:top w:val="none" w:sz="0" w:space="0" w:color="auto"/>
                <w:left w:val="none" w:sz="0" w:space="0" w:color="auto"/>
                <w:bottom w:val="none" w:sz="0" w:space="0" w:color="auto"/>
                <w:right w:val="none" w:sz="0" w:space="0" w:color="auto"/>
              </w:divBdr>
              <w:divsChild>
                <w:div w:id="766123657">
                  <w:marLeft w:val="0"/>
                  <w:marRight w:val="0"/>
                  <w:marTop w:val="0"/>
                  <w:marBottom w:val="0"/>
                  <w:divBdr>
                    <w:top w:val="none" w:sz="0" w:space="0" w:color="auto"/>
                    <w:left w:val="none" w:sz="0" w:space="0" w:color="auto"/>
                    <w:bottom w:val="none" w:sz="0" w:space="0" w:color="auto"/>
                    <w:right w:val="none" w:sz="0" w:space="0" w:color="auto"/>
                  </w:divBdr>
                  <w:divsChild>
                    <w:div w:id="17483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2854">
          <w:marLeft w:val="0"/>
          <w:marRight w:val="0"/>
          <w:marTop w:val="0"/>
          <w:marBottom w:val="0"/>
          <w:divBdr>
            <w:top w:val="none" w:sz="0" w:space="0" w:color="auto"/>
            <w:left w:val="none" w:sz="0" w:space="0" w:color="auto"/>
            <w:bottom w:val="none" w:sz="0" w:space="0" w:color="auto"/>
            <w:right w:val="none" w:sz="0" w:space="0" w:color="auto"/>
          </w:divBdr>
        </w:div>
        <w:div w:id="1246263590">
          <w:marLeft w:val="0"/>
          <w:marRight w:val="0"/>
          <w:marTop w:val="0"/>
          <w:marBottom w:val="0"/>
          <w:divBdr>
            <w:top w:val="none" w:sz="0" w:space="0" w:color="auto"/>
            <w:left w:val="none" w:sz="0" w:space="0" w:color="auto"/>
            <w:bottom w:val="none" w:sz="0" w:space="0" w:color="auto"/>
            <w:right w:val="none" w:sz="0" w:space="0" w:color="auto"/>
          </w:divBdr>
          <w:divsChild>
            <w:div w:id="1548368598">
              <w:marLeft w:val="0"/>
              <w:marRight w:val="0"/>
              <w:marTop w:val="0"/>
              <w:marBottom w:val="0"/>
              <w:divBdr>
                <w:top w:val="none" w:sz="0" w:space="0" w:color="auto"/>
                <w:left w:val="none" w:sz="0" w:space="0" w:color="auto"/>
                <w:bottom w:val="none" w:sz="0" w:space="0" w:color="auto"/>
                <w:right w:val="none" w:sz="0" w:space="0" w:color="auto"/>
              </w:divBdr>
              <w:divsChild>
                <w:div w:id="1651330156">
                  <w:marLeft w:val="-300"/>
                  <w:marRight w:val="0"/>
                  <w:marTop w:val="60"/>
                  <w:marBottom w:val="0"/>
                  <w:divBdr>
                    <w:top w:val="none" w:sz="0" w:space="0" w:color="auto"/>
                    <w:left w:val="none" w:sz="0" w:space="0" w:color="auto"/>
                    <w:bottom w:val="none" w:sz="0" w:space="0" w:color="auto"/>
                    <w:right w:val="none" w:sz="0" w:space="0" w:color="auto"/>
                  </w:divBdr>
                </w:div>
              </w:divsChild>
            </w:div>
            <w:div w:id="906185295">
              <w:marLeft w:val="0"/>
              <w:marRight w:val="0"/>
              <w:marTop w:val="0"/>
              <w:marBottom w:val="0"/>
              <w:divBdr>
                <w:top w:val="none" w:sz="0" w:space="0" w:color="auto"/>
                <w:left w:val="none" w:sz="0" w:space="0" w:color="auto"/>
                <w:bottom w:val="none" w:sz="0" w:space="0" w:color="auto"/>
                <w:right w:val="none" w:sz="0" w:space="0" w:color="auto"/>
              </w:divBdr>
              <w:divsChild>
                <w:div w:id="898712167">
                  <w:marLeft w:val="0"/>
                  <w:marRight w:val="0"/>
                  <w:marTop w:val="0"/>
                  <w:marBottom w:val="0"/>
                  <w:divBdr>
                    <w:top w:val="none" w:sz="0" w:space="0" w:color="auto"/>
                    <w:left w:val="none" w:sz="0" w:space="0" w:color="auto"/>
                    <w:bottom w:val="none" w:sz="0" w:space="0" w:color="auto"/>
                    <w:right w:val="none" w:sz="0" w:space="0" w:color="auto"/>
                  </w:divBdr>
                </w:div>
                <w:div w:id="357437983">
                  <w:marLeft w:val="0"/>
                  <w:marRight w:val="0"/>
                  <w:marTop w:val="0"/>
                  <w:marBottom w:val="0"/>
                  <w:divBdr>
                    <w:top w:val="none" w:sz="0" w:space="0" w:color="auto"/>
                    <w:left w:val="none" w:sz="0" w:space="0" w:color="auto"/>
                    <w:bottom w:val="none" w:sz="0" w:space="0" w:color="auto"/>
                    <w:right w:val="none" w:sz="0" w:space="0" w:color="auto"/>
                  </w:divBdr>
                  <w:divsChild>
                    <w:div w:id="2109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771884">
      <w:bodyDiv w:val="1"/>
      <w:marLeft w:val="0"/>
      <w:marRight w:val="0"/>
      <w:marTop w:val="0"/>
      <w:marBottom w:val="0"/>
      <w:divBdr>
        <w:top w:val="none" w:sz="0" w:space="0" w:color="auto"/>
        <w:left w:val="none" w:sz="0" w:space="0" w:color="auto"/>
        <w:bottom w:val="none" w:sz="0" w:space="0" w:color="auto"/>
        <w:right w:val="none" w:sz="0" w:space="0" w:color="auto"/>
      </w:divBdr>
      <w:divsChild>
        <w:div w:id="1398939105">
          <w:marLeft w:val="0"/>
          <w:marRight w:val="0"/>
          <w:marTop w:val="0"/>
          <w:marBottom w:val="0"/>
          <w:divBdr>
            <w:top w:val="none" w:sz="0" w:space="0" w:color="auto"/>
            <w:left w:val="none" w:sz="0" w:space="0" w:color="auto"/>
            <w:bottom w:val="none" w:sz="0" w:space="0" w:color="auto"/>
            <w:right w:val="none" w:sz="0" w:space="0" w:color="auto"/>
          </w:divBdr>
          <w:divsChild>
            <w:div w:id="284195000">
              <w:marLeft w:val="0"/>
              <w:marRight w:val="0"/>
              <w:marTop w:val="0"/>
              <w:marBottom w:val="0"/>
              <w:divBdr>
                <w:top w:val="none" w:sz="0" w:space="0" w:color="auto"/>
                <w:left w:val="none" w:sz="0" w:space="0" w:color="auto"/>
                <w:bottom w:val="none" w:sz="0" w:space="0" w:color="auto"/>
                <w:right w:val="none" w:sz="0" w:space="0" w:color="auto"/>
              </w:divBdr>
              <w:divsChild>
                <w:div w:id="641885912">
                  <w:marLeft w:val="0"/>
                  <w:marRight w:val="0"/>
                  <w:marTop w:val="0"/>
                  <w:marBottom w:val="0"/>
                  <w:divBdr>
                    <w:top w:val="none" w:sz="0" w:space="0" w:color="auto"/>
                    <w:left w:val="none" w:sz="0" w:space="0" w:color="auto"/>
                    <w:bottom w:val="none" w:sz="0" w:space="0" w:color="auto"/>
                    <w:right w:val="none" w:sz="0" w:space="0" w:color="auto"/>
                  </w:divBdr>
                  <w:divsChild>
                    <w:div w:id="15851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4531">
          <w:marLeft w:val="0"/>
          <w:marRight w:val="0"/>
          <w:marTop w:val="0"/>
          <w:marBottom w:val="0"/>
          <w:divBdr>
            <w:top w:val="none" w:sz="0" w:space="0" w:color="auto"/>
            <w:left w:val="none" w:sz="0" w:space="0" w:color="auto"/>
            <w:bottom w:val="none" w:sz="0" w:space="0" w:color="auto"/>
            <w:right w:val="none" w:sz="0" w:space="0" w:color="auto"/>
          </w:divBdr>
        </w:div>
        <w:div w:id="31738211">
          <w:marLeft w:val="0"/>
          <w:marRight w:val="0"/>
          <w:marTop w:val="0"/>
          <w:marBottom w:val="0"/>
          <w:divBdr>
            <w:top w:val="none" w:sz="0" w:space="0" w:color="auto"/>
            <w:left w:val="none" w:sz="0" w:space="0" w:color="auto"/>
            <w:bottom w:val="none" w:sz="0" w:space="0" w:color="auto"/>
            <w:right w:val="none" w:sz="0" w:space="0" w:color="auto"/>
          </w:divBdr>
          <w:divsChild>
            <w:div w:id="1149515950">
              <w:marLeft w:val="0"/>
              <w:marRight w:val="0"/>
              <w:marTop w:val="0"/>
              <w:marBottom w:val="0"/>
              <w:divBdr>
                <w:top w:val="none" w:sz="0" w:space="0" w:color="auto"/>
                <w:left w:val="none" w:sz="0" w:space="0" w:color="auto"/>
                <w:bottom w:val="none" w:sz="0" w:space="0" w:color="auto"/>
                <w:right w:val="none" w:sz="0" w:space="0" w:color="auto"/>
              </w:divBdr>
              <w:divsChild>
                <w:div w:id="855272975">
                  <w:marLeft w:val="0"/>
                  <w:marRight w:val="0"/>
                  <w:marTop w:val="0"/>
                  <w:marBottom w:val="0"/>
                  <w:divBdr>
                    <w:top w:val="none" w:sz="0" w:space="0" w:color="auto"/>
                    <w:left w:val="none" w:sz="0" w:space="0" w:color="auto"/>
                    <w:bottom w:val="none" w:sz="0" w:space="0" w:color="auto"/>
                    <w:right w:val="none" w:sz="0" w:space="0" w:color="auto"/>
                  </w:divBdr>
                </w:div>
                <w:div w:id="1106537962">
                  <w:marLeft w:val="0"/>
                  <w:marRight w:val="0"/>
                  <w:marTop w:val="0"/>
                  <w:marBottom w:val="0"/>
                  <w:divBdr>
                    <w:top w:val="none" w:sz="0" w:space="0" w:color="auto"/>
                    <w:left w:val="none" w:sz="0" w:space="0" w:color="auto"/>
                    <w:bottom w:val="none" w:sz="0" w:space="0" w:color="auto"/>
                    <w:right w:val="none" w:sz="0" w:space="0" w:color="auto"/>
                  </w:divBdr>
                  <w:divsChild>
                    <w:div w:id="16778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1030">
      <w:bodyDiv w:val="1"/>
      <w:marLeft w:val="0"/>
      <w:marRight w:val="0"/>
      <w:marTop w:val="0"/>
      <w:marBottom w:val="0"/>
      <w:divBdr>
        <w:top w:val="none" w:sz="0" w:space="0" w:color="auto"/>
        <w:left w:val="none" w:sz="0" w:space="0" w:color="auto"/>
        <w:bottom w:val="none" w:sz="0" w:space="0" w:color="auto"/>
        <w:right w:val="none" w:sz="0" w:space="0" w:color="auto"/>
      </w:divBdr>
      <w:divsChild>
        <w:div w:id="1482889616">
          <w:marLeft w:val="0"/>
          <w:marRight w:val="0"/>
          <w:marTop w:val="0"/>
          <w:marBottom w:val="0"/>
          <w:divBdr>
            <w:top w:val="none" w:sz="0" w:space="0" w:color="auto"/>
            <w:left w:val="none" w:sz="0" w:space="0" w:color="auto"/>
            <w:bottom w:val="none" w:sz="0" w:space="0" w:color="auto"/>
            <w:right w:val="none" w:sz="0" w:space="0" w:color="auto"/>
          </w:divBdr>
          <w:divsChild>
            <w:div w:id="1035421973">
              <w:marLeft w:val="0"/>
              <w:marRight w:val="0"/>
              <w:marTop w:val="0"/>
              <w:marBottom w:val="0"/>
              <w:divBdr>
                <w:top w:val="none" w:sz="0" w:space="0" w:color="auto"/>
                <w:left w:val="none" w:sz="0" w:space="0" w:color="auto"/>
                <w:bottom w:val="none" w:sz="0" w:space="0" w:color="auto"/>
                <w:right w:val="none" w:sz="0" w:space="0" w:color="auto"/>
              </w:divBdr>
              <w:divsChild>
                <w:div w:id="324751674">
                  <w:marLeft w:val="0"/>
                  <w:marRight w:val="0"/>
                  <w:marTop w:val="0"/>
                  <w:marBottom w:val="0"/>
                  <w:divBdr>
                    <w:top w:val="none" w:sz="0" w:space="0" w:color="auto"/>
                    <w:left w:val="none" w:sz="0" w:space="0" w:color="auto"/>
                    <w:bottom w:val="none" w:sz="0" w:space="0" w:color="auto"/>
                    <w:right w:val="none" w:sz="0" w:space="0" w:color="auto"/>
                  </w:divBdr>
                  <w:divsChild>
                    <w:div w:id="1352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949">
          <w:marLeft w:val="0"/>
          <w:marRight w:val="0"/>
          <w:marTop w:val="0"/>
          <w:marBottom w:val="0"/>
          <w:divBdr>
            <w:top w:val="none" w:sz="0" w:space="0" w:color="auto"/>
            <w:left w:val="none" w:sz="0" w:space="0" w:color="auto"/>
            <w:bottom w:val="none" w:sz="0" w:space="0" w:color="auto"/>
            <w:right w:val="none" w:sz="0" w:space="0" w:color="auto"/>
          </w:divBdr>
        </w:div>
        <w:div w:id="2029600402">
          <w:marLeft w:val="0"/>
          <w:marRight w:val="0"/>
          <w:marTop w:val="0"/>
          <w:marBottom w:val="0"/>
          <w:divBdr>
            <w:top w:val="none" w:sz="0" w:space="0" w:color="auto"/>
            <w:left w:val="none" w:sz="0" w:space="0" w:color="auto"/>
            <w:bottom w:val="none" w:sz="0" w:space="0" w:color="auto"/>
            <w:right w:val="none" w:sz="0" w:space="0" w:color="auto"/>
          </w:divBdr>
          <w:divsChild>
            <w:div w:id="1947691415">
              <w:marLeft w:val="0"/>
              <w:marRight w:val="0"/>
              <w:marTop w:val="0"/>
              <w:marBottom w:val="0"/>
              <w:divBdr>
                <w:top w:val="none" w:sz="0" w:space="0" w:color="auto"/>
                <w:left w:val="none" w:sz="0" w:space="0" w:color="auto"/>
                <w:bottom w:val="none" w:sz="0" w:space="0" w:color="auto"/>
                <w:right w:val="none" w:sz="0" w:space="0" w:color="auto"/>
              </w:divBdr>
              <w:divsChild>
                <w:div w:id="1287157323">
                  <w:marLeft w:val="0"/>
                  <w:marRight w:val="0"/>
                  <w:marTop w:val="0"/>
                  <w:marBottom w:val="0"/>
                  <w:divBdr>
                    <w:top w:val="none" w:sz="0" w:space="0" w:color="auto"/>
                    <w:left w:val="none" w:sz="0" w:space="0" w:color="auto"/>
                    <w:bottom w:val="none" w:sz="0" w:space="0" w:color="auto"/>
                    <w:right w:val="none" w:sz="0" w:space="0" w:color="auto"/>
                  </w:divBdr>
                </w:div>
                <w:div w:id="421266972">
                  <w:marLeft w:val="0"/>
                  <w:marRight w:val="0"/>
                  <w:marTop w:val="0"/>
                  <w:marBottom w:val="0"/>
                  <w:divBdr>
                    <w:top w:val="none" w:sz="0" w:space="0" w:color="auto"/>
                    <w:left w:val="none" w:sz="0" w:space="0" w:color="auto"/>
                    <w:bottom w:val="none" w:sz="0" w:space="0" w:color="auto"/>
                    <w:right w:val="none" w:sz="0" w:space="0" w:color="auto"/>
                  </w:divBdr>
                  <w:divsChild>
                    <w:div w:id="14675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r3/document/KARE600056788/format/xsl/part/L/anchor/rd_45?oi=XzCx9U4kgA&amp;sourceP=%7B%22source%22%3A%22Link%22%7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ris.de/r3/document/KARE600056788/format/xsl/part/K?oi=XzCx9U4kgA&amp;sourceP=%7B%22source%22%3A%22Link%22%7D" TargetMode="External"/><Relationship Id="rId12" Type="http://schemas.openxmlformats.org/officeDocument/2006/relationships/hyperlink" Target="http://www.drgaup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nn@drgaupp.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uris.de/r3/document/BJNR001950896BJNE259801377/format/xsl/part/S?oi=XzCx9U4kgA&amp;sourceP=%7B%22source%22%3A%22Link%22%7D" TargetMode="External"/><Relationship Id="rId4" Type="http://schemas.openxmlformats.org/officeDocument/2006/relationships/webSettings" Target="webSettings.xml"/><Relationship Id="rId9" Type="http://schemas.openxmlformats.org/officeDocument/2006/relationships/hyperlink" Target="https://www.juris.de/r3/document/BJNR005330950BJNE033902301/format/xsl/part/S?oi=XzCx9U4kgA&amp;sourceP=%7B%22source%22%3A%22Link%22%7D"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10137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Pfeiffer</dc:creator>
  <cp:keywords/>
  <dc:description/>
  <cp:lastModifiedBy>Michelle Hawkins</cp:lastModifiedBy>
  <cp:revision>4</cp:revision>
  <dcterms:created xsi:type="dcterms:W3CDTF">2019-11-12T14:24:00Z</dcterms:created>
  <dcterms:modified xsi:type="dcterms:W3CDTF">2019-12-04T10:30:00Z</dcterms:modified>
</cp:coreProperties>
</file>