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770" w:rsidRPr="004F5770" w:rsidRDefault="004F5770" w:rsidP="004F5770">
      <w:pPr>
        <w:tabs>
          <w:tab w:val="center" w:pos="4536"/>
          <w:tab w:val="right" w:pos="9072"/>
        </w:tabs>
        <w:spacing w:after="0" w:line="240" w:lineRule="auto"/>
        <w:jc w:val="right"/>
        <w:rPr>
          <w:rFonts w:cs="Arial"/>
          <w:lang w:eastAsia="de-DE"/>
        </w:rPr>
      </w:pPr>
      <w:bookmarkStart w:id="0" w:name="_GoBack"/>
      <w:bookmarkEnd w:id="0"/>
      <w:r w:rsidRPr="004F5770">
        <w:rPr>
          <w:rFonts w:cs="Arial"/>
          <w:b/>
          <w:bCs/>
          <w:sz w:val="40"/>
          <w:szCs w:val="40"/>
          <w:lang w:eastAsia="de-DE"/>
        </w:rPr>
        <w:t>DASV</w:t>
      </w:r>
    </w:p>
    <w:p w:rsidR="004F5770" w:rsidRPr="004F5770" w:rsidRDefault="004F5770" w:rsidP="004F5770">
      <w:pPr>
        <w:spacing w:after="0" w:line="240" w:lineRule="auto"/>
        <w:jc w:val="right"/>
        <w:rPr>
          <w:rFonts w:cs="Arial"/>
          <w:sz w:val="20"/>
          <w:szCs w:val="20"/>
          <w:lang w:eastAsia="de-DE"/>
        </w:rPr>
      </w:pPr>
      <w:bookmarkStart w:id="1" w:name="2"/>
      <w:bookmarkStart w:id="2" w:name="9"/>
      <w:bookmarkEnd w:id="1"/>
      <w:bookmarkEnd w:id="2"/>
      <w:r w:rsidRPr="004F5770">
        <w:rPr>
          <w:rFonts w:cs="Arial"/>
          <w:sz w:val="20"/>
          <w:szCs w:val="20"/>
          <w:lang w:eastAsia="de-DE"/>
        </w:rPr>
        <w:t>Deutsche Anwalts- und</w:t>
      </w:r>
    </w:p>
    <w:p w:rsidR="004F5770" w:rsidRPr="004F5770" w:rsidRDefault="004F5770" w:rsidP="004F5770">
      <w:pPr>
        <w:spacing w:after="0" w:line="240" w:lineRule="auto"/>
        <w:jc w:val="right"/>
        <w:rPr>
          <w:rFonts w:cs="Arial"/>
          <w:sz w:val="20"/>
          <w:szCs w:val="20"/>
          <w:lang w:eastAsia="de-DE"/>
        </w:rPr>
      </w:pPr>
      <w:r w:rsidRPr="004F5770">
        <w:rPr>
          <w:rFonts w:cs="Arial"/>
          <w:sz w:val="20"/>
          <w:szCs w:val="20"/>
          <w:lang w:eastAsia="de-DE"/>
        </w:rPr>
        <w:t>Steuerberatervereinigung</w:t>
      </w:r>
    </w:p>
    <w:p w:rsidR="004F5770" w:rsidRPr="004F5770" w:rsidRDefault="004F5770" w:rsidP="004F5770">
      <w:pPr>
        <w:spacing w:after="0" w:line="240" w:lineRule="auto"/>
        <w:jc w:val="right"/>
        <w:rPr>
          <w:rFonts w:cs="Arial"/>
          <w:sz w:val="20"/>
          <w:szCs w:val="20"/>
          <w:lang w:eastAsia="de-DE"/>
        </w:rPr>
      </w:pPr>
      <w:r w:rsidRPr="004F5770">
        <w:rPr>
          <w:rFonts w:cs="Arial"/>
          <w:sz w:val="20"/>
          <w:szCs w:val="20"/>
          <w:lang w:eastAsia="de-DE"/>
        </w:rPr>
        <w:t>für die mittelständische</w:t>
      </w:r>
    </w:p>
    <w:p w:rsidR="004F5770" w:rsidRPr="00852CC4" w:rsidRDefault="004F5770" w:rsidP="004F5770">
      <w:pPr>
        <w:spacing w:after="0" w:line="240" w:lineRule="auto"/>
        <w:jc w:val="right"/>
        <w:rPr>
          <w:rFonts w:cs="Arial"/>
          <w:sz w:val="20"/>
          <w:szCs w:val="20"/>
          <w:lang w:val="en-US" w:eastAsia="de-DE"/>
        </w:rPr>
      </w:pPr>
      <w:r w:rsidRPr="00852CC4">
        <w:rPr>
          <w:rFonts w:cs="Arial"/>
          <w:sz w:val="20"/>
          <w:szCs w:val="20"/>
          <w:lang w:val="en-US" w:eastAsia="de-DE"/>
        </w:rPr>
        <w:t>Wirtschaft e. V.</w:t>
      </w:r>
    </w:p>
    <w:p w:rsidR="004F5770" w:rsidRDefault="004F5770" w:rsidP="00B17647">
      <w:pPr>
        <w:spacing w:after="0" w:line="360" w:lineRule="auto"/>
        <w:jc w:val="both"/>
        <w:outlineLvl w:val="0"/>
        <w:rPr>
          <w:rFonts w:cs="Arial"/>
          <w:bCs/>
          <w:kern w:val="36"/>
          <w:lang w:val="en-US" w:eastAsia="de-DE"/>
        </w:rPr>
      </w:pPr>
    </w:p>
    <w:p w:rsidR="007F39FE" w:rsidRDefault="007F39FE" w:rsidP="00B17647">
      <w:pPr>
        <w:spacing w:after="0" w:line="360" w:lineRule="auto"/>
        <w:jc w:val="both"/>
        <w:outlineLvl w:val="0"/>
        <w:rPr>
          <w:rFonts w:cs="Arial"/>
          <w:b/>
          <w:bCs/>
          <w:kern w:val="36"/>
          <w:lang w:eastAsia="de-DE"/>
        </w:rPr>
      </w:pPr>
      <w:r w:rsidRPr="00B17647">
        <w:rPr>
          <w:rFonts w:cs="Arial"/>
          <w:b/>
          <w:bCs/>
          <w:kern w:val="36"/>
          <w:lang w:eastAsia="de-DE"/>
        </w:rPr>
        <w:t xml:space="preserve">Auch Arbeitsverträge sind Allgemeine Geschäftsbedingungen: Unangemessene Benachteiligung des Arbeitnehmers durch Arbeitsvertrag ist unzulässig 08.12.2017 </w:t>
      </w:r>
    </w:p>
    <w:p w:rsidR="00B17647" w:rsidRDefault="00B17647" w:rsidP="00B17647">
      <w:pPr>
        <w:spacing w:after="0" w:line="360" w:lineRule="auto"/>
        <w:jc w:val="both"/>
        <w:outlineLvl w:val="0"/>
        <w:rPr>
          <w:rFonts w:cs="Arial"/>
          <w:b/>
          <w:bCs/>
          <w:kern w:val="36"/>
          <w:lang w:eastAsia="de-DE"/>
        </w:rPr>
      </w:pPr>
    </w:p>
    <w:p w:rsidR="00B17647" w:rsidRPr="00104831" w:rsidRDefault="00B17647" w:rsidP="00B17647">
      <w:pPr>
        <w:spacing w:after="0" w:line="360" w:lineRule="auto"/>
        <w:jc w:val="both"/>
        <w:outlineLvl w:val="0"/>
        <w:rPr>
          <w:rFonts w:cs="Arial"/>
          <w:bCs/>
          <w:kern w:val="36"/>
          <w:lang w:eastAsia="de-DE"/>
        </w:rPr>
      </w:pPr>
      <w:r w:rsidRPr="00104831">
        <w:rPr>
          <w:rFonts w:cs="Arial"/>
          <w:bCs/>
          <w:kern w:val="36"/>
          <w:lang w:eastAsia="de-DE"/>
        </w:rPr>
        <w:t>ein Artikel von Rechtsanwalt, Fachanwalt für Steuerrecht und Fachanwalt für Handels- und Gesellschaftsrecht Arnd Lackner, Saarbrücken</w:t>
      </w:r>
    </w:p>
    <w:p w:rsidR="00B17647" w:rsidRPr="00B17647" w:rsidRDefault="00B17647" w:rsidP="00B17647">
      <w:pPr>
        <w:spacing w:after="0" w:line="360" w:lineRule="auto"/>
        <w:jc w:val="both"/>
        <w:outlineLvl w:val="0"/>
        <w:rPr>
          <w:rFonts w:cs="Arial"/>
          <w:b/>
          <w:bCs/>
          <w:kern w:val="36"/>
          <w:lang w:eastAsia="de-DE"/>
        </w:rPr>
      </w:pPr>
    </w:p>
    <w:p w:rsidR="007F39FE" w:rsidRDefault="007F39FE" w:rsidP="00B17647">
      <w:pPr>
        <w:spacing w:after="0" w:line="360" w:lineRule="auto"/>
        <w:jc w:val="both"/>
        <w:outlineLvl w:val="1"/>
        <w:rPr>
          <w:rFonts w:cs="Arial"/>
          <w:b/>
          <w:bCs/>
          <w:lang w:eastAsia="de-DE"/>
        </w:rPr>
      </w:pPr>
      <w:r w:rsidRPr="00B17647">
        <w:rPr>
          <w:rFonts w:cs="Arial"/>
          <w:b/>
          <w:bCs/>
          <w:lang w:eastAsia="de-DE"/>
        </w:rPr>
        <w:t>Die Praxis der Arbeitsgerichte beschäftigt sich überwiegend mit Kündigungsschutzklagen. Auch wenn das Kündigungsschutzgesetz aufgrund der vom Arbeitgeber mit der Kündigung geschaffenen Fakten im Ergebnis oft leer läuft, hat das Bundesarbeitsgericht aktuell nochmals die vertraglichen Kündigungsmöglichkeiten des Arbeitgebers auf den Prüfstand gestellt und mit Urteil vom 26. Oktober 2017 im Verfahren 6 AZR 158/16 zu Gunsten der Arbeitnehmerschaft entschieden.</w:t>
      </w:r>
    </w:p>
    <w:p w:rsidR="008266CB" w:rsidRPr="00B17647" w:rsidRDefault="008266CB" w:rsidP="00B17647">
      <w:pPr>
        <w:spacing w:after="0" w:line="360" w:lineRule="auto"/>
        <w:jc w:val="both"/>
        <w:outlineLvl w:val="1"/>
        <w:rPr>
          <w:rFonts w:cs="Arial"/>
          <w:b/>
          <w:bCs/>
          <w:lang w:eastAsia="de-DE"/>
        </w:rPr>
      </w:pPr>
    </w:p>
    <w:p w:rsidR="00B17647" w:rsidRDefault="007F39FE" w:rsidP="00B17647">
      <w:pPr>
        <w:spacing w:after="0" w:line="360" w:lineRule="auto"/>
        <w:jc w:val="both"/>
        <w:rPr>
          <w:rFonts w:cs="Arial"/>
          <w:lang w:eastAsia="de-DE"/>
        </w:rPr>
      </w:pPr>
      <w:r w:rsidRPr="00B17647">
        <w:rPr>
          <w:rFonts w:cs="Arial"/>
          <w:lang w:eastAsia="de-DE"/>
        </w:rPr>
        <w:t>Nach der zu dieser Entscheidung gleichnamigen Pressemitteilung Nr. 48/17 sieht das Bundesarbeitsgericht eine unzulässige unangemessene Benachteiligung des Arbeitnehmers aufgrund einer Verlängerung seiner Kündigungsfrist in Allgemeinen Geschäftsbedingungen, sprich im Arbeitsvertrag.</w:t>
      </w:r>
    </w:p>
    <w:p w:rsidR="00B17647" w:rsidRDefault="00B17647" w:rsidP="00B17647">
      <w:pPr>
        <w:spacing w:after="0" w:line="360" w:lineRule="auto"/>
        <w:jc w:val="both"/>
        <w:rPr>
          <w:rFonts w:cs="Arial"/>
          <w:lang w:eastAsia="de-DE"/>
        </w:rPr>
      </w:pPr>
    </w:p>
    <w:p w:rsidR="00B17647" w:rsidRDefault="007F39FE" w:rsidP="00B17647">
      <w:pPr>
        <w:spacing w:after="0" w:line="360" w:lineRule="auto"/>
        <w:jc w:val="both"/>
        <w:rPr>
          <w:rFonts w:cs="Arial"/>
          <w:lang w:eastAsia="de-DE"/>
        </w:rPr>
      </w:pPr>
      <w:r w:rsidRPr="00B17647">
        <w:rPr>
          <w:rFonts w:cs="Arial"/>
          <w:lang w:eastAsia="de-DE"/>
        </w:rPr>
        <w:t>Wird danach „die gesetzliche Kündigungsfrist für den Arbeitnehmer in Allgemeinen Geschäftsbedingungen erheblich verlängert, kann darin auch dann eine unangemessene Benachteiligung entgegen den Geboten von Treu und Glauben im Sinn von § 307 Abs. 1 Satz 1 BGB liegen, wenn die Kündigungsfrist für den Arbeitgeber in gleicher Weise verlängert wird.“</w:t>
      </w:r>
    </w:p>
    <w:p w:rsidR="00B17647" w:rsidRDefault="00B17647" w:rsidP="00B17647">
      <w:pPr>
        <w:spacing w:after="0" w:line="360" w:lineRule="auto"/>
        <w:jc w:val="both"/>
        <w:rPr>
          <w:rFonts w:cs="Arial"/>
          <w:lang w:eastAsia="de-DE"/>
        </w:rPr>
      </w:pPr>
    </w:p>
    <w:p w:rsidR="00B17647" w:rsidRDefault="007F39FE" w:rsidP="00B17647">
      <w:pPr>
        <w:spacing w:after="0" w:line="360" w:lineRule="auto"/>
        <w:jc w:val="both"/>
        <w:rPr>
          <w:rFonts w:cs="Arial"/>
          <w:lang w:eastAsia="de-DE"/>
        </w:rPr>
      </w:pPr>
      <w:r w:rsidRPr="00B17647">
        <w:rPr>
          <w:rFonts w:cs="Arial"/>
          <w:lang w:eastAsia="de-DE"/>
        </w:rPr>
        <w:t>Auch dann, wenn die arbeitsvertragliche Regelung hinsichtlich der Kündigungsmöglichkeiten Arbeitnehmer und Arbeitgeber gleich stellt, ist bei „einer vom Arbeitgeber vorformulierten Kündigungsfrist, die die Grenzen des § 622 Abs. 6 BGB und des § 15 Abs. 4 TzBfG einhält, aber wesentlich länger ist als die gesetzliche Regelfrist des § 622 Abs. 1 BGB, ist nach Abwägung aller Umstände des Einzelfalls unter Beachtung von Art. 12 Abs. 1 GG zu prüfen, ob die verlängerte Frist eine unangemessene Beschränkung der beruflichen Bewegungsfreiheit darstellt.“</w:t>
      </w:r>
    </w:p>
    <w:p w:rsidR="00B17647" w:rsidRDefault="00B17647" w:rsidP="00B17647">
      <w:pPr>
        <w:spacing w:after="0" w:line="360" w:lineRule="auto"/>
        <w:jc w:val="both"/>
        <w:rPr>
          <w:rFonts w:cs="Arial"/>
          <w:lang w:eastAsia="de-DE"/>
        </w:rPr>
      </w:pPr>
    </w:p>
    <w:p w:rsidR="00B17647" w:rsidRDefault="007F39FE" w:rsidP="00B17647">
      <w:pPr>
        <w:spacing w:after="0" w:line="360" w:lineRule="auto"/>
        <w:jc w:val="both"/>
        <w:rPr>
          <w:rFonts w:cs="Arial"/>
          <w:lang w:eastAsia="de-DE"/>
        </w:rPr>
      </w:pPr>
      <w:r w:rsidRPr="00B17647">
        <w:rPr>
          <w:rFonts w:cs="Arial"/>
          <w:lang w:eastAsia="de-DE"/>
        </w:rPr>
        <w:t xml:space="preserve">Diese unangemessene Beschränkung der beruflichen Bewegungsfreiheit des Arbeitnehmers wurde im entschiedenen Fall durch das Bundesarbeitsgericht bejaht, da der in der gegenüber </w:t>
      </w:r>
      <w:r w:rsidRPr="00B17647">
        <w:rPr>
          <w:rFonts w:cs="Arial"/>
          <w:lang w:eastAsia="de-DE"/>
        </w:rPr>
        <w:lastRenderedPageBreak/>
        <w:t>der gesetzlichen Frist arbeitsvertraglich verlängerten Kündigungsfrist zu sehende Nachteil nicht durch einen gleichzeitig gewährten Vorteil aufgewogen wurde.</w:t>
      </w:r>
    </w:p>
    <w:p w:rsidR="00B17647" w:rsidRDefault="00B17647" w:rsidP="00B17647">
      <w:pPr>
        <w:spacing w:after="0" w:line="360" w:lineRule="auto"/>
        <w:jc w:val="both"/>
        <w:rPr>
          <w:rFonts w:cs="Arial"/>
          <w:lang w:eastAsia="de-DE"/>
        </w:rPr>
      </w:pPr>
    </w:p>
    <w:p w:rsidR="00B17647" w:rsidRDefault="007F39FE" w:rsidP="00B17647">
      <w:pPr>
        <w:spacing w:after="0" w:line="360" w:lineRule="auto"/>
        <w:jc w:val="both"/>
        <w:rPr>
          <w:rFonts w:cs="Arial"/>
          <w:b/>
          <w:bCs/>
          <w:lang w:eastAsia="de-DE"/>
        </w:rPr>
      </w:pPr>
      <w:r w:rsidRPr="00B17647">
        <w:rPr>
          <w:rFonts w:cs="Arial"/>
          <w:b/>
          <w:bCs/>
          <w:lang w:eastAsia="de-DE"/>
        </w:rPr>
        <w:t>Fazit</w:t>
      </w:r>
    </w:p>
    <w:p w:rsidR="00B17647" w:rsidRDefault="007F39FE" w:rsidP="00B17647">
      <w:pPr>
        <w:spacing w:after="0" w:line="360" w:lineRule="auto"/>
        <w:jc w:val="both"/>
        <w:rPr>
          <w:rFonts w:cs="Arial"/>
          <w:lang w:eastAsia="de-DE"/>
        </w:rPr>
      </w:pPr>
      <w:r w:rsidRPr="00B17647">
        <w:rPr>
          <w:rFonts w:cs="Arial"/>
          <w:lang w:eastAsia="de-DE"/>
        </w:rPr>
        <w:t>In der Regel durch den Arbeitgeber vorgegebene Arbeitsverträge begründen fast immer Allgemeine Geschäftsbedingungen. Dort geregelte Abweichungen gegenüber der gesetzlichen Regelung sind fast ausnahmslos unzulässig. Aus Gründen der Rechtssicherheit ist daher bei der Abfassung von Arbeitsverträgen auf Seiten des Arbeitgebers äußerste Sorgfalt geboten. Unsicherheiten oder für den Arbeitnehmer nachteilige Regelungen gehen immer zu Lasten des Arbeitgebers.</w:t>
      </w:r>
    </w:p>
    <w:p w:rsidR="00B17647" w:rsidRDefault="00B17647" w:rsidP="00B17647">
      <w:pPr>
        <w:spacing w:after="0" w:line="360" w:lineRule="auto"/>
        <w:jc w:val="both"/>
        <w:rPr>
          <w:rFonts w:cs="Arial"/>
          <w:lang w:eastAsia="de-DE"/>
        </w:rPr>
      </w:pPr>
    </w:p>
    <w:p w:rsidR="00B17647" w:rsidRPr="00CF6856" w:rsidRDefault="00B17647" w:rsidP="00B17647">
      <w:pPr>
        <w:spacing w:after="0" w:line="240" w:lineRule="auto"/>
        <w:jc w:val="both"/>
        <w:rPr>
          <w:rFonts w:cs="Arial"/>
          <w:sz w:val="20"/>
          <w:szCs w:val="20"/>
        </w:rPr>
      </w:pPr>
      <w:r w:rsidRPr="00CF6856">
        <w:rPr>
          <w:rFonts w:cs="Arial"/>
          <w:sz w:val="20"/>
          <w:szCs w:val="20"/>
        </w:rPr>
        <w:t>Der Autor ist Mitglied der Deutschen Anwalts- und Steuerberatervereinigung für die mittelständische Wirtschaft e.V.</w:t>
      </w:r>
    </w:p>
    <w:p w:rsidR="00B17647" w:rsidRPr="00CF6856" w:rsidRDefault="00B17647" w:rsidP="00B17647">
      <w:pPr>
        <w:tabs>
          <w:tab w:val="left" w:pos="3285"/>
        </w:tabs>
        <w:spacing w:after="0" w:line="240" w:lineRule="auto"/>
        <w:jc w:val="both"/>
        <w:rPr>
          <w:rFonts w:cs="Arial"/>
          <w:sz w:val="20"/>
          <w:szCs w:val="20"/>
        </w:rPr>
      </w:pPr>
      <w:r>
        <w:rPr>
          <w:rFonts w:cs="Arial"/>
          <w:sz w:val="20"/>
          <w:szCs w:val="20"/>
        </w:rPr>
        <w:tab/>
      </w:r>
    </w:p>
    <w:p w:rsidR="00B17647" w:rsidRPr="00CF6856" w:rsidRDefault="00B17647" w:rsidP="00B17647">
      <w:pPr>
        <w:spacing w:after="0" w:line="240" w:lineRule="auto"/>
        <w:jc w:val="both"/>
        <w:rPr>
          <w:rFonts w:cs="Arial"/>
          <w:sz w:val="20"/>
          <w:szCs w:val="20"/>
        </w:rPr>
      </w:pPr>
    </w:p>
    <w:p w:rsidR="00B17647" w:rsidRPr="00CF6856" w:rsidRDefault="00B17647" w:rsidP="00B17647">
      <w:pPr>
        <w:spacing w:after="0" w:line="240" w:lineRule="auto"/>
        <w:jc w:val="both"/>
        <w:rPr>
          <w:rFonts w:cs="Arial"/>
          <w:sz w:val="20"/>
          <w:szCs w:val="20"/>
        </w:rPr>
      </w:pPr>
      <w:r w:rsidRPr="00CF6856">
        <w:rPr>
          <w:rFonts w:cs="Arial"/>
          <w:sz w:val="20"/>
          <w:szCs w:val="20"/>
        </w:rPr>
        <w:t>Für Rückfragen steht Ihnen der Autor gerne zur Verfügung</w:t>
      </w:r>
    </w:p>
    <w:p w:rsidR="00B17647" w:rsidRPr="00CF6856" w:rsidRDefault="00B17647" w:rsidP="00B17647">
      <w:pPr>
        <w:spacing w:after="0" w:line="240" w:lineRule="auto"/>
        <w:jc w:val="both"/>
        <w:rPr>
          <w:rFonts w:cs="Arial"/>
          <w:sz w:val="20"/>
          <w:szCs w:val="20"/>
        </w:rPr>
      </w:pPr>
    </w:p>
    <w:p w:rsidR="00B17647" w:rsidRPr="00CF6856" w:rsidRDefault="00B17647" w:rsidP="00B17647">
      <w:pPr>
        <w:spacing w:after="0" w:line="240" w:lineRule="auto"/>
        <w:jc w:val="both"/>
        <w:rPr>
          <w:rFonts w:cs="Arial"/>
          <w:sz w:val="20"/>
          <w:szCs w:val="20"/>
        </w:rPr>
      </w:pPr>
      <w:r>
        <w:rPr>
          <w:rFonts w:cs="Arial"/>
          <w:sz w:val="20"/>
          <w:szCs w:val="20"/>
        </w:rPr>
        <w:t>Rechtsanwalt</w:t>
      </w:r>
    </w:p>
    <w:p w:rsidR="00B17647" w:rsidRPr="00CF6856" w:rsidRDefault="00B17647" w:rsidP="00B17647">
      <w:pPr>
        <w:spacing w:after="0" w:line="240" w:lineRule="auto"/>
        <w:jc w:val="both"/>
        <w:rPr>
          <w:rFonts w:cs="Arial"/>
          <w:sz w:val="20"/>
          <w:szCs w:val="20"/>
        </w:rPr>
      </w:pPr>
      <w:r w:rsidRPr="00CF6856">
        <w:rPr>
          <w:rFonts w:cs="Arial"/>
          <w:sz w:val="20"/>
          <w:szCs w:val="20"/>
        </w:rPr>
        <w:t>Arnd Lackner</w:t>
      </w:r>
    </w:p>
    <w:p w:rsidR="00B17647" w:rsidRDefault="00B17647" w:rsidP="00B17647">
      <w:pPr>
        <w:spacing w:after="0" w:line="240" w:lineRule="auto"/>
        <w:jc w:val="both"/>
        <w:rPr>
          <w:rFonts w:cs="Arial"/>
          <w:bCs/>
          <w:sz w:val="20"/>
          <w:szCs w:val="20"/>
        </w:rPr>
      </w:pPr>
      <w:r w:rsidRPr="003C614B">
        <w:rPr>
          <w:rFonts w:cs="Arial"/>
          <w:bCs/>
          <w:sz w:val="20"/>
          <w:szCs w:val="20"/>
        </w:rPr>
        <w:t>Fachanwalt für Ste</w:t>
      </w:r>
      <w:r>
        <w:rPr>
          <w:rFonts w:cs="Arial"/>
          <w:bCs/>
          <w:sz w:val="20"/>
          <w:szCs w:val="20"/>
        </w:rPr>
        <w:t xml:space="preserve">uerrecht </w:t>
      </w:r>
    </w:p>
    <w:p w:rsidR="00B17647" w:rsidRPr="00CF6856" w:rsidRDefault="00B17647" w:rsidP="00B17647">
      <w:pPr>
        <w:spacing w:after="0" w:line="240" w:lineRule="auto"/>
        <w:jc w:val="both"/>
        <w:rPr>
          <w:rFonts w:cs="Arial"/>
          <w:sz w:val="20"/>
          <w:szCs w:val="20"/>
        </w:rPr>
      </w:pPr>
      <w:r w:rsidRPr="003C614B">
        <w:rPr>
          <w:rFonts w:cs="Arial"/>
          <w:bCs/>
          <w:sz w:val="20"/>
          <w:szCs w:val="20"/>
        </w:rPr>
        <w:t>Fachanwalt für Handels- und Gesellschaftsrecht</w:t>
      </w:r>
    </w:p>
    <w:p w:rsidR="00B17647" w:rsidRPr="00CF6856" w:rsidRDefault="00B17647" w:rsidP="00B17647">
      <w:pPr>
        <w:spacing w:after="0" w:line="240" w:lineRule="auto"/>
        <w:jc w:val="both"/>
        <w:rPr>
          <w:rFonts w:cs="Arial"/>
          <w:b/>
          <w:bCs/>
          <w:sz w:val="20"/>
          <w:szCs w:val="20"/>
        </w:rPr>
      </w:pPr>
      <w:r w:rsidRPr="00CF6856">
        <w:rPr>
          <w:rFonts w:cs="Arial"/>
          <w:sz w:val="20"/>
          <w:szCs w:val="20"/>
        </w:rPr>
        <w:t>WAGNER Rechtsanwälte</w:t>
      </w:r>
      <w:r w:rsidRPr="00CF6856">
        <w:rPr>
          <w:rFonts w:cs="Arial"/>
          <w:b/>
          <w:bCs/>
          <w:sz w:val="20"/>
          <w:szCs w:val="20"/>
        </w:rPr>
        <w:t xml:space="preserve"> </w:t>
      </w:r>
    </w:p>
    <w:p w:rsidR="00B17647" w:rsidRPr="00CF6856" w:rsidRDefault="00B17647" w:rsidP="00B17647">
      <w:pPr>
        <w:spacing w:after="0" w:line="240" w:lineRule="auto"/>
        <w:jc w:val="both"/>
        <w:rPr>
          <w:rFonts w:cs="Arial"/>
          <w:sz w:val="20"/>
          <w:szCs w:val="20"/>
        </w:rPr>
      </w:pPr>
      <w:r w:rsidRPr="00CF6856">
        <w:rPr>
          <w:rFonts w:cs="Arial"/>
          <w:sz w:val="20"/>
          <w:szCs w:val="20"/>
        </w:rPr>
        <w:t>Großherzog-Friedrich-Str. 40</w:t>
      </w:r>
    </w:p>
    <w:p w:rsidR="00B17647" w:rsidRPr="00CF6856" w:rsidRDefault="00B17647" w:rsidP="00B17647">
      <w:pPr>
        <w:spacing w:after="0" w:line="240" w:lineRule="auto"/>
        <w:jc w:val="both"/>
        <w:rPr>
          <w:rFonts w:cs="Arial"/>
          <w:sz w:val="20"/>
          <w:szCs w:val="20"/>
        </w:rPr>
      </w:pPr>
      <w:r w:rsidRPr="00CF6856">
        <w:rPr>
          <w:rFonts w:cs="Arial"/>
          <w:sz w:val="20"/>
          <w:szCs w:val="20"/>
        </w:rPr>
        <w:t>66111 Saarbrücken</w:t>
      </w:r>
    </w:p>
    <w:p w:rsidR="00B17647" w:rsidRPr="00CF6856" w:rsidRDefault="00B17647" w:rsidP="00B17647">
      <w:pPr>
        <w:spacing w:after="0" w:line="240" w:lineRule="auto"/>
        <w:jc w:val="both"/>
        <w:rPr>
          <w:rFonts w:cs="Arial"/>
          <w:sz w:val="20"/>
          <w:szCs w:val="20"/>
        </w:rPr>
      </w:pPr>
      <w:r w:rsidRPr="00CF6856">
        <w:rPr>
          <w:rFonts w:cs="Arial"/>
          <w:sz w:val="20"/>
          <w:szCs w:val="20"/>
        </w:rPr>
        <w:t xml:space="preserve"> </w:t>
      </w:r>
    </w:p>
    <w:p w:rsidR="00B17647" w:rsidRPr="00CF6856" w:rsidRDefault="00B17647" w:rsidP="00B17647">
      <w:pPr>
        <w:spacing w:after="0" w:line="240" w:lineRule="auto"/>
        <w:jc w:val="both"/>
        <w:rPr>
          <w:rFonts w:cs="Arial"/>
          <w:sz w:val="20"/>
          <w:szCs w:val="20"/>
        </w:rPr>
      </w:pPr>
      <w:r w:rsidRPr="00CF6856">
        <w:rPr>
          <w:rFonts w:cs="Arial"/>
          <w:sz w:val="20"/>
          <w:szCs w:val="20"/>
        </w:rPr>
        <w:t>Tel.: +49 (0) 681-95 82 82-0</w:t>
      </w:r>
      <w:r w:rsidRPr="00CF6856">
        <w:rPr>
          <w:rFonts w:cs="Arial"/>
          <w:sz w:val="20"/>
          <w:szCs w:val="20"/>
        </w:rPr>
        <w:tab/>
      </w:r>
      <w:r w:rsidRPr="00CF6856">
        <w:rPr>
          <w:rFonts w:cs="Arial"/>
          <w:sz w:val="20"/>
          <w:szCs w:val="20"/>
        </w:rPr>
        <w:tab/>
        <w:t>Fax: +49 (0) 681-95 82 82-10</w:t>
      </w:r>
    </w:p>
    <w:p w:rsidR="00B17647" w:rsidRPr="00CF6856" w:rsidRDefault="00B17647" w:rsidP="00B17647">
      <w:pPr>
        <w:spacing w:after="0" w:line="240" w:lineRule="auto"/>
        <w:jc w:val="both"/>
        <w:rPr>
          <w:rFonts w:cs="Arial"/>
          <w:sz w:val="20"/>
          <w:szCs w:val="20"/>
        </w:rPr>
      </w:pPr>
      <w:r w:rsidRPr="00CF6856">
        <w:rPr>
          <w:rFonts w:cs="Arial"/>
          <w:sz w:val="20"/>
          <w:szCs w:val="20"/>
          <w:lang w:val="it-IT"/>
        </w:rPr>
        <w:t xml:space="preserve">E-Mail: </w:t>
      </w:r>
      <w:hyperlink r:id="rId6" w:tooltip="Öffnet ein Fenster zum E-Mail-Senden" w:history="1">
        <w:r w:rsidRPr="00CF6856">
          <w:rPr>
            <w:rStyle w:val="Hyperlink"/>
            <w:rFonts w:cs="Arial"/>
            <w:sz w:val="20"/>
            <w:szCs w:val="20"/>
            <w:lang w:val="it-IT"/>
          </w:rPr>
          <w:t>wagner@webvocat.de</w:t>
        </w:r>
      </w:hyperlink>
      <w:r w:rsidRPr="00CF6856">
        <w:rPr>
          <w:rFonts w:cs="Arial"/>
          <w:sz w:val="20"/>
          <w:szCs w:val="20"/>
          <w:lang w:val="it-IT"/>
        </w:rPr>
        <w:tab/>
      </w:r>
      <w:r w:rsidRPr="00CF6856">
        <w:rPr>
          <w:rFonts w:cs="Arial"/>
          <w:sz w:val="20"/>
          <w:szCs w:val="20"/>
          <w:lang w:val="it-IT"/>
        </w:rPr>
        <w:tab/>
      </w:r>
      <w:hyperlink r:id="rId7" w:history="1">
        <w:r w:rsidRPr="00CF6856">
          <w:rPr>
            <w:rStyle w:val="Hyperlink"/>
            <w:rFonts w:cs="Arial"/>
            <w:sz w:val="20"/>
            <w:szCs w:val="20"/>
            <w:lang w:val="it-IT"/>
          </w:rPr>
          <w:t>www.webvocat.de</w:t>
        </w:r>
      </w:hyperlink>
    </w:p>
    <w:p w:rsidR="00B17647" w:rsidRPr="00CF6856" w:rsidRDefault="00B17647" w:rsidP="00B17647">
      <w:pPr>
        <w:spacing w:after="0" w:line="240" w:lineRule="auto"/>
        <w:jc w:val="both"/>
        <w:rPr>
          <w:rFonts w:cs="Arial"/>
          <w:sz w:val="20"/>
          <w:szCs w:val="20"/>
        </w:rPr>
      </w:pPr>
    </w:p>
    <w:p w:rsidR="00D32887" w:rsidRPr="00B17647" w:rsidRDefault="00D32887" w:rsidP="00B17647">
      <w:pPr>
        <w:spacing w:after="0" w:line="360" w:lineRule="auto"/>
        <w:jc w:val="both"/>
        <w:rPr>
          <w:rFonts w:cs="Arial"/>
        </w:rPr>
      </w:pPr>
    </w:p>
    <w:sectPr w:rsidR="00D32887" w:rsidRPr="00B17647">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D69" w:rsidRDefault="00CF7D69" w:rsidP="004F5770">
      <w:pPr>
        <w:spacing w:after="0" w:line="240" w:lineRule="auto"/>
      </w:pPr>
      <w:r>
        <w:separator/>
      </w:r>
    </w:p>
  </w:endnote>
  <w:endnote w:type="continuationSeparator" w:id="0">
    <w:p w:rsidR="00CF7D69" w:rsidRDefault="00CF7D69" w:rsidP="004F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D69" w:rsidRDefault="00CF7D69" w:rsidP="004F5770">
      <w:pPr>
        <w:spacing w:after="0" w:line="240" w:lineRule="auto"/>
      </w:pPr>
      <w:r>
        <w:separator/>
      </w:r>
    </w:p>
  </w:footnote>
  <w:footnote w:type="continuationSeparator" w:id="0">
    <w:p w:rsidR="00CF7D69" w:rsidRDefault="00CF7D69" w:rsidP="004F5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770" w:rsidRPr="00852CC4" w:rsidRDefault="004F5770" w:rsidP="004F5770">
    <w:pPr>
      <w:tabs>
        <w:tab w:val="center" w:pos="4819"/>
        <w:tab w:val="right" w:pos="9071"/>
      </w:tabs>
      <w:jc w:val="center"/>
      <w:rPr>
        <w:rFonts w:cs="Arial"/>
        <w:szCs w:val="20"/>
        <w:lang w:eastAsia="de-DE"/>
      </w:rPr>
    </w:pPr>
    <w:r w:rsidRPr="00852CC4">
      <w:rPr>
        <w:rFonts w:cs="Arial"/>
        <w:b/>
        <w:bCs/>
        <w:sz w:val="28"/>
        <w:szCs w:val="28"/>
        <w:lang w:eastAsia="de-DE"/>
      </w:rPr>
      <w:t>mittelstandsdepesche 1</w:t>
    </w:r>
    <w:r>
      <w:rPr>
        <w:rFonts w:cs="Arial"/>
        <w:b/>
        <w:bCs/>
        <w:sz w:val="28"/>
        <w:szCs w:val="28"/>
        <w:lang w:eastAsia="de-DE"/>
      </w:rPr>
      <w:t>2</w:t>
    </w:r>
    <w:r w:rsidRPr="00852CC4">
      <w:rPr>
        <w:rFonts w:cs="Arial"/>
        <w:b/>
        <w:bCs/>
        <w:sz w:val="28"/>
        <w:szCs w:val="28"/>
        <w:lang w:eastAsia="de-DE"/>
      </w:rPr>
      <w:t>-2017</w:t>
    </w:r>
  </w:p>
  <w:p w:rsidR="004F5770" w:rsidRDefault="004F577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FE"/>
    <w:rsid w:val="00104831"/>
    <w:rsid w:val="003C614B"/>
    <w:rsid w:val="004F5770"/>
    <w:rsid w:val="0072104F"/>
    <w:rsid w:val="007B07A3"/>
    <w:rsid w:val="007E658B"/>
    <w:rsid w:val="007F39FE"/>
    <w:rsid w:val="008266CB"/>
    <w:rsid w:val="00852CC4"/>
    <w:rsid w:val="00B17647"/>
    <w:rsid w:val="00B94A82"/>
    <w:rsid w:val="00CF6856"/>
    <w:rsid w:val="00CF7D69"/>
    <w:rsid w:val="00D32887"/>
    <w:rsid w:val="00EC6D5D"/>
    <w:rsid w:val="00F80A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BFAF4F-52A0-42F1-BBEF-E09E5E4A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link w:val="berschrift1Zchn"/>
    <w:uiPriority w:val="9"/>
    <w:qFormat/>
    <w:rsid w:val="007F39FE"/>
    <w:pPr>
      <w:spacing w:before="100" w:beforeAutospacing="1" w:after="100" w:afterAutospacing="1" w:line="240" w:lineRule="auto"/>
      <w:outlineLvl w:val="0"/>
    </w:pPr>
    <w:rPr>
      <w:rFonts w:ascii="Times New Roman" w:hAnsi="Times New Roman"/>
      <w:b/>
      <w:bCs/>
      <w:kern w:val="36"/>
      <w:sz w:val="48"/>
      <w:szCs w:val="48"/>
      <w:lang w:eastAsia="de-DE"/>
    </w:rPr>
  </w:style>
  <w:style w:type="paragraph" w:styleId="berschrift2">
    <w:name w:val="heading 2"/>
    <w:basedOn w:val="Standard"/>
    <w:link w:val="berschrift2Zchn"/>
    <w:uiPriority w:val="9"/>
    <w:qFormat/>
    <w:rsid w:val="007F39FE"/>
    <w:pPr>
      <w:spacing w:before="100" w:beforeAutospacing="1" w:after="100" w:afterAutospacing="1" w:line="240" w:lineRule="auto"/>
      <w:outlineLvl w:val="1"/>
    </w:pPr>
    <w:rPr>
      <w:rFonts w:ascii="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7F39FE"/>
    <w:rPr>
      <w:rFonts w:ascii="Times New Roman" w:hAnsi="Times New Roman" w:cs="Times New Roman"/>
      <w:b/>
      <w:bCs/>
      <w:kern w:val="36"/>
      <w:sz w:val="48"/>
      <w:szCs w:val="48"/>
      <w:lang w:val="x-none" w:eastAsia="de-DE"/>
    </w:rPr>
  </w:style>
  <w:style w:type="character" w:customStyle="1" w:styleId="berschrift2Zchn">
    <w:name w:val="Überschrift 2 Zchn"/>
    <w:basedOn w:val="Absatz-Standardschriftart"/>
    <w:link w:val="berschrift2"/>
    <w:uiPriority w:val="9"/>
    <w:locked/>
    <w:rsid w:val="007F39FE"/>
    <w:rPr>
      <w:rFonts w:ascii="Times New Roman" w:hAnsi="Times New Roman" w:cs="Times New Roman"/>
      <w:b/>
      <w:bCs/>
      <w:sz w:val="36"/>
      <w:szCs w:val="36"/>
      <w:lang w:val="x-none" w:eastAsia="de-DE"/>
    </w:rPr>
  </w:style>
  <w:style w:type="character" w:customStyle="1" w:styleId="news-single-date">
    <w:name w:val="news-single-date"/>
    <w:basedOn w:val="Absatz-Standardschriftart"/>
    <w:rsid w:val="007F39FE"/>
    <w:rPr>
      <w:rFonts w:cs="Times New Roman"/>
    </w:rPr>
  </w:style>
  <w:style w:type="paragraph" w:styleId="StandardWeb">
    <w:name w:val="Normal (Web)"/>
    <w:basedOn w:val="Standard"/>
    <w:uiPriority w:val="99"/>
    <w:semiHidden/>
    <w:unhideWhenUsed/>
    <w:rsid w:val="007F39FE"/>
    <w:pPr>
      <w:spacing w:before="100" w:beforeAutospacing="1" w:after="100" w:afterAutospacing="1" w:line="240" w:lineRule="auto"/>
    </w:pPr>
    <w:rPr>
      <w:rFonts w:ascii="Times New Roman" w:hAnsi="Times New Roman"/>
      <w:sz w:val="24"/>
      <w:szCs w:val="24"/>
      <w:lang w:eastAsia="de-DE"/>
    </w:rPr>
  </w:style>
  <w:style w:type="character" w:styleId="Hyperlink">
    <w:name w:val="Hyperlink"/>
    <w:basedOn w:val="Absatz-Standardschriftart"/>
    <w:uiPriority w:val="99"/>
    <w:semiHidden/>
    <w:unhideWhenUsed/>
    <w:rsid w:val="007F39FE"/>
    <w:rPr>
      <w:rFonts w:cs="Times New Roman"/>
      <w:color w:val="0000FF"/>
      <w:u w:val="single"/>
    </w:rPr>
  </w:style>
  <w:style w:type="paragraph" w:styleId="Kopfzeile">
    <w:name w:val="header"/>
    <w:basedOn w:val="Standard"/>
    <w:link w:val="KopfzeileZchn"/>
    <w:uiPriority w:val="99"/>
    <w:unhideWhenUsed/>
    <w:rsid w:val="004F57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4F5770"/>
    <w:rPr>
      <w:rFonts w:cs="Times New Roman"/>
    </w:rPr>
  </w:style>
  <w:style w:type="paragraph" w:styleId="Fuzeile">
    <w:name w:val="footer"/>
    <w:basedOn w:val="Standard"/>
    <w:link w:val="FuzeileZchn"/>
    <w:uiPriority w:val="99"/>
    <w:unhideWhenUsed/>
    <w:rsid w:val="004F5770"/>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4F57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25122">
      <w:marLeft w:val="0"/>
      <w:marRight w:val="0"/>
      <w:marTop w:val="0"/>
      <w:marBottom w:val="0"/>
      <w:divBdr>
        <w:top w:val="none" w:sz="0" w:space="0" w:color="auto"/>
        <w:left w:val="none" w:sz="0" w:space="0" w:color="auto"/>
        <w:bottom w:val="none" w:sz="0" w:space="0" w:color="auto"/>
        <w:right w:val="none" w:sz="0" w:space="0" w:color="auto"/>
      </w:divBdr>
      <w:divsChild>
        <w:div w:id="592125121">
          <w:marLeft w:val="0"/>
          <w:marRight w:val="0"/>
          <w:marTop w:val="0"/>
          <w:marBottom w:val="0"/>
          <w:divBdr>
            <w:top w:val="none" w:sz="0" w:space="0" w:color="auto"/>
            <w:left w:val="none" w:sz="0" w:space="0" w:color="auto"/>
            <w:bottom w:val="none" w:sz="0" w:space="0" w:color="auto"/>
            <w:right w:val="none" w:sz="0" w:space="0" w:color="auto"/>
          </w:divBdr>
        </w:div>
        <w:div w:id="592125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webvoca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2FF5533B.dotm</Template>
  <TotalTime>0</TotalTime>
  <Pages>2</Pages>
  <Words>467</Words>
  <Characters>2943</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2018-01-08T08:02:00Z</dcterms:created>
  <dcterms:modified xsi:type="dcterms:W3CDTF">2018-01-08T08:02:00Z</dcterms:modified>
</cp:coreProperties>
</file>